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87683" w:rsidRDefault="00E87683">
      <w:pPr>
        <w:pStyle w:val="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GERD </w:t>
      </w:r>
    </w:p>
    <w:p w:rsidR="00E87683" w:rsidRDefault="00E87683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Thursday, June 5, 2025</w:t>
      </w:r>
    </w:p>
    <w:p w:rsidR="00E87683" w:rsidRDefault="00E87683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11:19 PM</w:t>
      </w:r>
    </w:p>
    <w:p w:rsidR="00E87683" w:rsidRDefault="00E87683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E87683" w:rsidRDefault="00E87683">
      <w:pPr>
        <w:numPr>
          <w:ilvl w:val="0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E87683" w:rsidRDefault="00E87683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E87683" w:rsidRDefault="00E87683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E87683" w:rsidRDefault="00E87683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E87683" w:rsidRDefault="00E87683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E87683" w:rsidRDefault="00E87683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E87683" w:rsidRDefault="00E87683">
      <w:pPr>
        <w:numPr>
          <w:ilvl w:val="0"/>
          <w:numId w:val="2"/>
        </w:numPr>
        <w:spacing w:line="420" w:lineRule="atLeast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定義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 xml:space="preserve"> </w:t>
      </w:r>
    </w:p>
    <w:p w:rsidR="00E87683" w:rsidRDefault="00E87683">
      <w:pPr>
        <w:numPr>
          <w:ilvl w:val="1"/>
          <w:numId w:val="2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1D35"/>
          <w:sz w:val="28"/>
          <w:szCs w:val="28"/>
        </w:rPr>
        <w:t>胃食道逆流疾病（</w:t>
      </w:r>
      <w:r>
        <w:rPr>
          <w:rFonts w:ascii="微軟正黑體" w:eastAsia="微軟正黑體" w:hAnsi="微軟正黑體" w:cs="Calibri" w:hint="eastAsia"/>
          <w:color w:val="001D35"/>
          <w:sz w:val="28"/>
          <w:szCs w:val="28"/>
        </w:rPr>
        <w:t>Gastroesophageal Reflux Disease</w:t>
      </w:r>
      <w:r>
        <w:rPr>
          <w:rFonts w:ascii="微軟正黑體" w:eastAsia="微軟正黑體" w:hAnsi="微軟正黑體" w:cs="Calibri" w:hint="eastAsia"/>
          <w:color w:val="001D35"/>
          <w:sz w:val="28"/>
          <w:szCs w:val="28"/>
        </w:rPr>
        <w:t>，</w:t>
      </w:r>
      <w:r>
        <w:rPr>
          <w:rFonts w:ascii="微軟正黑體" w:eastAsia="微軟正黑體" w:hAnsi="微軟正黑體" w:cs="Calibri" w:hint="eastAsia"/>
          <w:color w:val="001D35"/>
          <w:sz w:val="28"/>
          <w:szCs w:val="28"/>
        </w:rPr>
        <w:t>GERD</w:t>
      </w:r>
      <w:r>
        <w:rPr>
          <w:rFonts w:ascii="微軟正黑體" w:eastAsia="微軟正黑體" w:hAnsi="微軟正黑體" w:cs="Calibri" w:hint="eastAsia"/>
          <w:color w:val="001D35"/>
          <w:sz w:val="28"/>
          <w:szCs w:val="28"/>
        </w:rPr>
        <w:t>）是指</w:t>
      </w:r>
      <w:r>
        <w:rPr>
          <w:rFonts w:ascii="微軟正黑體" w:eastAsia="微軟正黑體" w:hAnsi="微軟正黑體" w:cs="Calibri" w:hint="eastAsia"/>
          <w:sz w:val="28"/>
          <w:szCs w:val="28"/>
        </w:rPr>
        <w:t>胃酸及胃內容物不正常地向上逆流進入食道，造成食道黏膜損傷或引發相關症狀的疾病</w:t>
      </w:r>
    </w:p>
    <w:p w:rsidR="00E87683" w:rsidRDefault="00E87683">
      <w:pPr>
        <w:numPr>
          <w:ilvl w:val="0"/>
          <w:numId w:val="2"/>
        </w:numPr>
        <w:spacing w:line="420" w:lineRule="atLeast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病生理機轉</w:t>
      </w:r>
    </w:p>
    <w:p w:rsidR="00E87683" w:rsidRDefault="00E87683">
      <w:pPr>
        <w:numPr>
          <w:ilvl w:val="1"/>
          <w:numId w:val="2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8"/>
          <w:szCs w:val="28"/>
        </w:rPr>
        <w:t>主要機制：</w:t>
      </w:r>
    </w:p>
    <w:p w:rsidR="00E87683" w:rsidRDefault="00E87683">
      <w:pPr>
        <w:numPr>
          <w:ilvl w:val="2"/>
          <w:numId w:val="2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胃酸和胃蛋白酶引起食道黏膜發炎反應</w:t>
      </w:r>
    </w:p>
    <w:p w:rsidR="00E87683" w:rsidRDefault="00E87683">
      <w:pPr>
        <w:numPr>
          <w:ilvl w:val="2"/>
          <w:numId w:val="2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經由細胞激素介導的發炎途徑，而非直接的腐蝕性傷害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 xml:space="preserve"> </w:t>
      </w:r>
    </w:p>
    <w:p w:rsidR="00E87683" w:rsidRDefault="00E87683">
      <w:pPr>
        <w:numPr>
          <w:ilvl w:val="1"/>
          <w:numId w:val="2"/>
        </w:numPr>
        <w:spacing w:line="4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8"/>
          <w:szCs w:val="28"/>
        </w:rPr>
        <w:t>食道胃接合處功能異常的三大機制：</w:t>
      </w:r>
    </w:p>
    <w:p w:rsidR="00E87683" w:rsidRDefault="00E87683">
      <w:pPr>
        <w:numPr>
          <w:ilvl w:val="2"/>
          <w:numId w:val="2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食道括約肌暫時性鬆弛（經由迷走神經反射）</w:t>
      </w:r>
    </w:p>
    <w:p w:rsidR="00E87683" w:rsidRDefault="00E87683">
      <w:pPr>
        <w:numPr>
          <w:ilvl w:val="3"/>
          <w:numId w:val="2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是一種迷走神經反射</w:t>
      </w:r>
    </w:p>
    <w:p w:rsidR="00E87683" w:rsidRDefault="00E87683">
      <w:pPr>
        <w:numPr>
          <w:ilvl w:val="3"/>
          <w:numId w:val="2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由胃部脹大引起</w:t>
      </w:r>
    </w:p>
    <w:p w:rsidR="00E87683" w:rsidRDefault="00E87683">
      <w:pPr>
        <w:numPr>
          <w:ilvl w:val="2"/>
          <w:numId w:val="2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食道括約肌張力過低</w:t>
      </w:r>
    </w:p>
    <w:p w:rsidR="00E87683" w:rsidRDefault="00E87683">
      <w:pPr>
        <w:numPr>
          <w:ilvl w:val="2"/>
          <w:numId w:val="2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食道胃接合處解剖結構異常（包括裂孔疝氣）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 xml:space="preserve">  </w:t>
      </w:r>
    </w:p>
    <w:p w:rsidR="00E87683" w:rsidRDefault="00E87683">
      <w:pPr>
        <w:numPr>
          <w:ilvl w:val="1"/>
          <w:numId w:val="2"/>
        </w:numPr>
        <w:spacing w:line="4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30"/>
          <w:szCs w:val="30"/>
        </w:rPr>
        <w:t>胃液清除機制</w:t>
      </w:r>
      <w:r>
        <w:rPr>
          <w:rFonts w:ascii="微軟正黑體" w:eastAsia="微軟正黑體" w:hAnsi="微軟正黑體" w:cs="Calibri" w:hint="eastAsia"/>
          <w:color w:val="262626"/>
          <w:sz w:val="28"/>
          <w:szCs w:val="28"/>
        </w:rPr>
        <w:t>：</w:t>
      </w:r>
    </w:p>
    <w:p w:rsidR="00E87683" w:rsidRDefault="00E87683">
      <w:pPr>
        <w:numPr>
          <w:ilvl w:val="2"/>
          <w:numId w:val="2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正常清除過程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:</w:t>
      </w:r>
    </w:p>
    <w:p w:rsidR="00E87683" w:rsidRDefault="00E87683">
      <w:pPr>
        <w:numPr>
          <w:ilvl w:val="3"/>
          <w:numId w:val="2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食道蠕動將逆流液體送回胃部</w:t>
      </w:r>
    </w:p>
    <w:p w:rsidR="00E87683" w:rsidRDefault="00E87683">
      <w:pPr>
        <w:numPr>
          <w:ilvl w:val="3"/>
          <w:numId w:val="2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吞嚥的唾液中的碳酸氫鹽中和殘餘酸性物質</w:t>
      </w:r>
    </w:p>
    <w:p w:rsidR="00E87683" w:rsidRDefault="00E87683">
      <w:pPr>
        <w:numPr>
          <w:ilvl w:val="2"/>
          <w:numId w:val="2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清除機制受損原因</w:t>
      </w:r>
    </w:p>
    <w:p w:rsidR="00E87683" w:rsidRDefault="00E87683">
      <w:pPr>
        <w:numPr>
          <w:ilvl w:val="3"/>
          <w:numId w:val="2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蠕動功能障礙</w:t>
      </w:r>
    </w:p>
    <w:p w:rsidR="00E87683" w:rsidRDefault="00E87683">
      <w:pPr>
        <w:numPr>
          <w:ilvl w:val="3"/>
          <w:numId w:val="2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唾液分泌減少</w:t>
      </w:r>
    </w:p>
    <w:p w:rsidR="00E87683" w:rsidRDefault="00E87683">
      <w:pPr>
        <w:pStyle w:val="Web"/>
        <w:spacing w:before="0" w:beforeAutospacing="0" w:after="0" w:afterAutospacing="0" w:line="320" w:lineRule="atLeast"/>
        <w:ind w:left="1080"/>
        <w:rPr>
          <w:rFonts w:ascii="微軟正黑體" w:eastAsia="微軟正黑體" w:hAnsi="微軟正黑體" w:cs="Calibri"/>
          <w:color w:val="26262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 </w:t>
      </w:r>
    </w:p>
    <w:p w:rsidR="00E87683" w:rsidRDefault="00E87683">
      <w:pPr>
        <w:numPr>
          <w:ilvl w:val="0"/>
          <w:numId w:val="3"/>
        </w:numPr>
        <w:spacing w:line="420" w:lineRule="atLeast"/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8"/>
          <w:szCs w:val="28"/>
        </w:rPr>
        <w:lastRenderedPageBreak/>
        <w:t>風險因素：</w:t>
      </w:r>
    </w:p>
    <w:p w:rsidR="00E87683" w:rsidRDefault="00E87683">
      <w:pPr>
        <w:numPr>
          <w:ilvl w:val="1"/>
          <w:numId w:val="3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腹部肥胖</w:t>
      </w:r>
    </w:p>
    <w:p w:rsidR="00E87683" w:rsidRDefault="00E87683">
      <w:pPr>
        <w:numPr>
          <w:ilvl w:val="1"/>
          <w:numId w:val="3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懷孕</w:t>
      </w:r>
    </w:p>
    <w:p w:rsidR="00E87683" w:rsidRDefault="00E87683">
      <w:pPr>
        <w:numPr>
          <w:ilvl w:val="1"/>
          <w:numId w:val="3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胃酸分泌過多</w:t>
      </w:r>
    </w:p>
    <w:p w:rsidR="00E87683" w:rsidRDefault="00E87683">
      <w:pPr>
        <w:numPr>
          <w:ilvl w:val="1"/>
          <w:numId w:val="3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胃排空延遲</w:t>
      </w:r>
    </w:p>
    <w:p w:rsidR="00E87683" w:rsidRDefault="00E87683">
      <w:pPr>
        <w:numPr>
          <w:ilvl w:val="1"/>
          <w:numId w:val="3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食道蠕動功能障礙</w:t>
      </w:r>
    </w:p>
    <w:p w:rsidR="00E87683" w:rsidRDefault="00E87683">
      <w:pPr>
        <w:numPr>
          <w:ilvl w:val="1"/>
          <w:numId w:val="3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暴飲暴食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 xml:space="preserve"> </w:t>
      </w:r>
    </w:p>
    <w:p w:rsidR="00E87683" w:rsidRDefault="00E87683">
      <w:pPr>
        <w:numPr>
          <w:ilvl w:val="1"/>
          <w:numId w:val="3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Zollinger-Ellison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症候群</w:t>
      </w:r>
    </w:p>
    <w:p w:rsidR="00E87683" w:rsidRDefault="00E87683">
      <w:pPr>
        <w:numPr>
          <w:ilvl w:val="1"/>
          <w:numId w:val="3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膽汁</w:t>
      </w:r>
    </w:p>
    <w:p w:rsidR="00E87683" w:rsidRDefault="00E87683">
      <w:pPr>
        <w:numPr>
          <w:ilvl w:val="1"/>
          <w:numId w:val="3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胃蛋白酶</w:t>
      </w:r>
    </w:p>
    <w:p w:rsidR="00E87683" w:rsidRDefault="00E87683">
      <w:pPr>
        <w:numPr>
          <w:ilvl w:val="1"/>
          <w:numId w:val="3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胰臟酵素</w:t>
      </w:r>
    </w:p>
    <w:p w:rsidR="00E87683" w:rsidRDefault="00E87683">
      <w:pPr>
        <w:numPr>
          <w:ilvl w:val="0"/>
          <w:numId w:val="3"/>
        </w:numPr>
        <w:spacing w:line="280" w:lineRule="atLeast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幽門桿菌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:</w:t>
      </w:r>
    </w:p>
    <w:p w:rsidR="00E87683" w:rsidRDefault="00E87683">
      <w:pPr>
        <w:numPr>
          <w:ilvl w:val="1"/>
          <w:numId w:val="3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與胃食道逆流無直接關係</w:t>
      </w:r>
    </w:p>
    <w:p w:rsidR="00E87683" w:rsidRDefault="00E87683">
      <w:pPr>
        <w:numPr>
          <w:ilvl w:val="1"/>
          <w:numId w:val="3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可能透過慢性胃炎減少胃酸分泌，反而形成保護效果</w:t>
      </w:r>
    </w:p>
    <w:p w:rsidR="00E87683" w:rsidRDefault="00E87683">
      <w:pPr>
        <w:pStyle w:val="Web"/>
        <w:spacing w:before="0" w:beforeAutospacing="0" w:after="0" w:afterAutospacing="0" w:line="420" w:lineRule="atLeast"/>
        <w:ind w:left="540"/>
        <w:rPr>
          <w:rFonts w:ascii="微軟正黑體" w:eastAsia="微軟正黑體" w:hAnsi="微軟正黑體" w:cs="Calibri"/>
          <w:sz w:val="32"/>
          <w:szCs w:val="3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 </w:t>
      </w:r>
    </w:p>
    <w:p w:rsidR="00E87683" w:rsidRDefault="00E87683">
      <w:pPr>
        <w:numPr>
          <w:ilvl w:val="0"/>
          <w:numId w:val="4"/>
        </w:numPr>
        <w:spacing w:line="420" w:lineRule="atLeast"/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症狀</w:t>
      </w:r>
    </w:p>
    <w:p w:rsidR="00E87683" w:rsidRDefault="00E87683">
      <w:pPr>
        <w:numPr>
          <w:ilvl w:val="1"/>
          <w:numId w:val="4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主要症狀</w:t>
      </w:r>
    </w:p>
    <w:p w:rsidR="00E87683" w:rsidRDefault="00E87683">
      <w:pPr>
        <w:numPr>
          <w:ilvl w:val="2"/>
          <w:numId w:val="4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胸口灼熱感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(Heartburn)</w:t>
      </w:r>
    </w:p>
    <w:p w:rsidR="00E87683" w:rsidRDefault="00E87683">
      <w:pPr>
        <w:numPr>
          <w:ilvl w:val="2"/>
          <w:numId w:val="4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逆流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 xml:space="preserve">(Regurgitation): 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口腔有酸味</w:t>
      </w:r>
    </w:p>
    <w:p w:rsidR="00E87683" w:rsidRDefault="00E87683">
      <w:pPr>
        <w:numPr>
          <w:ilvl w:val="1"/>
          <w:numId w:val="4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次要症狀</w:t>
      </w:r>
    </w:p>
    <w:p w:rsidR="00E87683" w:rsidRDefault="00E87683">
      <w:pPr>
        <w:numPr>
          <w:ilvl w:val="2"/>
          <w:numId w:val="4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吞嚥困難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 xml:space="preserve"> (Dysphagia)</w:t>
      </w:r>
    </w:p>
    <w:p w:rsidR="00E87683" w:rsidRDefault="00E87683">
      <w:pPr>
        <w:numPr>
          <w:ilvl w:val="3"/>
          <w:numId w:val="4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消化性狹窄</w:t>
      </w:r>
    </w:p>
    <w:p w:rsidR="00E87683" w:rsidRDefault="00E87683">
      <w:pPr>
        <w:numPr>
          <w:ilvl w:val="3"/>
          <w:numId w:val="4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嗜酸性食道炎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(EoE)</w:t>
      </w:r>
    </w:p>
    <w:p w:rsidR="00E87683" w:rsidRDefault="00E87683">
      <w:pPr>
        <w:numPr>
          <w:ilvl w:val="3"/>
          <w:numId w:val="4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癌症</w:t>
      </w:r>
    </w:p>
    <w:p w:rsidR="00E87683" w:rsidRDefault="00E87683">
      <w:pPr>
        <w:numPr>
          <w:ilvl w:val="2"/>
          <w:numId w:val="4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胸痛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 xml:space="preserve"> (chest pain)</w:t>
      </w:r>
    </w:p>
    <w:p w:rsidR="00E87683" w:rsidRDefault="00E87683">
      <w:pPr>
        <w:numPr>
          <w:ilvl w:val="3"/>
          <w:numId w:val="4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可能為長期嚴重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GERD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的症狀</w:t>
      </w:r>
    </w:p>
    <w:p w:rsidR="00E87683" w:rsidRDefault="00E87683">
      <w:pPr>
        <w:numPr>
          <w:ilvl w:val="3"/>
          <w:numId w:val="4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需仔細鑑別心臟問題</w:t>
      </w:r>
    </w:p>
    <w:p w:rsidR="00E87683" w:rsidRDefault="00E87683">
      <w:pPr>
        <w:numPr>
          <w:ilvl w:val="1"/>
          <w:numId w:val="4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食道外症狀</w:t>
      </w:r>
    </w:p>
    <w:p w:rsidR="00E87683" w:rsidRDefault="00E87683">
      <w:pPr>
        <w:numPr>
          <w:ilvl w:val="2"/>
          <w:numId w:val="4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慢性咳嗽</w:t>
      </w:r>
    </w:p>
    <w:p w:rsidR="00E87683" w:rsidRDefault="00E87683">
      <w:pPr>
        <w:numPr>
          <w:ilvl w:val="2"/>
          <w:numId w:val="4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喉炎</w:t>
      </w:r>
    </w:p>
    <w:p w:rsidR="00E87683" w:rsidRDefault="00E87683">
      <w:pPr>
        <w:numPr>
          <w:ilvl w:val="2"/>
          <w:numId w:val="4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氣喘</w:t>
      </w:r>
    </w:p>
    <w:p w:rsidR="00E87683" w:rsidRDefault="00E87683">
      <w:pPr>
        <w:numPr>
          <w:ilvl w:val="2"/>
          <w:numId w:val="4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牙齒侵蝕</w:t>
      </w:r>
    </w:p>
    <w:p w:rsidR="00E87683" w:rsidRDefault="00E87683">
      <w:pPr>
        <w:numPr>
          <w:ilvl w:val="2"/>
          <w:numId w:val="4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吸入性肺炎</w:t>
      </w:r>
    </w:p>
    <w:p w:rsidR="00E87683" w:rsidRDefault="00E87683">
      <w:pPr>
        <w:numPr>
          <w:ilvl w:val="2"/>
          <w:numId w:val="4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睡眠呼吸中止症</w:t>
      </w:r>
    </w:p>
    <w:p w:rsidR="00E87683" w:rsidRDefault="00E87683">
      <w:pPr>
        <w:numPr>
          <w:ilvl w:val="0"/>
          <w:numId w:val="4"/>
        </w:numPr>
        <w:spacing w:line="420" w:lineRule="atLeast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診斷</w:t>
      </w:r>
    </w:p>
    <w:p w:rsidR="00E87683" w:rsidRDefault="00E87683">
      <w:pPr>
        <w:numPr>
          <w:ilvl w:val="1"/>
          <w:numId w:val="4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診斷工具</w:t>
      </w:r>
    </w:p>
    <w:p w:rsidR="00E87683" w:rsidRDefault="00E87683">
      <w:pPr>
        <w:numPr>
          <w:ilvl w:val="2"/>
          <w:numId w:val="4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內視鏡檢查</w:t>
      </w:r>
    </w:p>
    <w:p w:rsidR="00E87683" w:rsidRDefault="00E87683">
      <w:pPr>
        <w:numPr>
          <w:ilvl w:val="2"/>
          <w:numId w:val="4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上消化道攝影</w:t>
      </w:r>
    </w:p>
    <w:p w:rsidR="00E87683" w:rsidRDefault="00E87683">
      <w:pPr>
        <w:numPr>
          <w:ilvl w:val="2"/>
          <w:numId w:val="4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食道壓力檢查</w:t>
      </w:r>
    </w:p>
    <w:p w:rsidR="00E87683" w:rsidRDefault="00E87683">
      <w:pPr>
        <w:numPr>
          <w:ilvl w:val="1"/>
          <w:numId w:val="4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內視鏡</w:t>
      </w:r>
    </w:p>
    <w:p w:rsidR="00E87683" w:rsidRDefault="00E87683">
      <w:pPr>
        <w:numPr>
          <w:ilvl w:val="2"/>
          <w:numId w:val="4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各類食道炎內視鏡特徵</w:t>
      </w:r>
    </w:p>
    <w:p w:rsidR="00E87683" w:rsidRDefault="00E87683">
      <w:pPr>
        <w:numPr>
          <w:ilvl w:val="2"/>
          <w:numId w:val="4"/>
        </w:numPr>
        <w:textAlignment w:val="center"/>
        <w:divId w:val="447241612"/>
        <w:rPr>
          <w:rFonts w:ascii="Calibri" w:hAnsi="Calibri" w:cs="Calibri"/>
          <w:sz w:val="22"/>
          <w:szCs w:val="22"/>
        </w:rPr>
      </w:pPr>
    </w:p>
    <w:tbl>
      <w:tblPr>
        <w:tblW w:w="0" w:type="auto"/>
        <w:tblInd w:w="216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067"/>
        <w:gridCol w:w="1248"/>
        <w:gridCol w:w="1361"/>
        <w:gridCol w:w="1450"/>
      </w:tblGrid>
      <w:tr w:rsidR="00000000">
        <w:trPr>
          <w:divId w:val="447241612"/>
        </w:trPr>
        <w:tc>
          <w:tcPr>
            <w:tcW w:w="26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87683" w:rsidRDefault="00E87683">
            <w:pPr>
              <w:pStyle w:val="Web"/>
              <w:spacing w:before="0" w:beforeAutospacing="0" w:after="0" w:afterAutospacing="0" w:line="320" w:lineRule="atLeast"/>
              <w:jc w:val="center"/>
              <w:rPr>
                <w:rFonts w:ascii="微軟正黑體" w:eastAsia="微軟正黑體" w:hAnsi="微軟正黑體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262626"/>
                <w:sz w:val="22"/>
                <w:szCs w:val="22"/>
              </w:rPr>
              <w:t>食道炎類型</w:t>
            </w:r>
          </w:p>
        </w:tc>
        <w:tc>
          <w:tcPr>
            <w:tcW w:w="18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87683" w:rsidRDefault="00E87683">
            <w:pPr>
              <w:pStyle w:val="Web"/>
              <w:spacing w:before="0" w:beforeAutospacing="0" w:after="0" w:afterAutospacing="0" w:line="320" w:lineRule="atLeast"/>
              <w:jc w:val="center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262626"/>
                <w:sz w:val="22"/>
                <w:szCs w:val="22"/>
              </w:rPr>
              <w:t>潰瘍</w:t>
            </w:r>
            <w:r>
              <w:rPr>
                <w:rFonts w:ascii="微軟正黑體" w:eastAsia="微軟正黑體" w:hAnsi="微軟正黑體" w:hint="eastAsia"/>
                <w:b/>
                <w:bCs/>
                <w:color w:val="262626"/>
                <w:sz w:val="22"/>
                <w:szCs w:val="22"/>
              </w:rPr>
              <w:t>/</w:t>
            </w:r>
            <w:r>
              <w:rPr>
                <w:rFonts w:ascii="微軟正黑體" w:eastAsia="微軟正黑體" w:hAnsi="微軟正黑體" w:hint="eastAsia"/>
                <w:b/>
                <w:bCs/>
                <w:color w:val="262626"/>
                <w:sz w:val="22"/>
                <w:szCs w:val="22"/>
              </w:rPr>
              <w:t>病灶特徵</w:t>
            </w:r>
          </w:p>
        </w:tc>
        <w:tc>
          <w:tcPr>
            <w:tcW w:w="20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87683" w:rsidRDefault="00E87683">
            <w:pPr>
              <w:pStyle w:val="Web"/>
              <w:spacing w:before="0" w:beforeAutospacing="0" w:after="0" w:afterAutospacing="0" w:line="320" w:lineRule="atLeast"/>
              <w:jc w:val="center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262626"/>
                <w:sz w:val="22"/>
                <w:szCs w:val="22"/>
              </w:rPr>
              <w:t>分布位置</w:t>
            </w:r>
          </w:p>
        </w:tc>
        <w:tc>
          <w:tcPr>
            <w:tcW w:w="20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87683" w:rsidRDefault="00E87683">
            <w:pPr>
              <w:pStyle w:val="Web"/>
              <w:spacing w:before="0" w:beforeAutospacing="0" w:after="0" w:afterAutospacing="0" w:line="320" w:lineRule="atLeast"/>
              <w:jc w:val="center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262626"/>
                <w:sz w:val="22"/>
                <w:szCs w:val="22"/>
              </w:rPr>
              <w:t>其他特徵</w:t>
            </w:r>
          </w:p>
        </w:tc>
      </w:tr>
      <w:tr w:rsidR="00000000">
        <w:trPr>
          <w:divId w:val="447241612"/>
        </w:trPr>
        <w:tc>
          <w:tcPr>
            <w:tcW w:w="26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87683" w:rsidRDefault="00E87683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消化性食道炎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(Peptic)</w:t>
            </w:r>
          </w:p>
        </w:tc>
        <w:tc>
          <w:tcPr>
            <w:tcW w:w="18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87683" w:rsidRDefault="00E87683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潰瘍數量少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表淺性糜爛</w:t>
            </w:r>
          </w:p>
        </w:tc>
        <w:tc>
          <w:tcPr>
            <w:tcW w:w="20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87683" w:rsidRDefault="00E87683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主要在遠端食道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食道胃接合處</w:t>
            </w:r>
          </w:p>
        </w:tc>
        <w:tc>
          <w:tcPr>
            <w:tcW w:w="21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87683" w:rsidRDefault="00E87683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- LA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分級可評估嚴重度</w:t>
            </w:r>
          </w:p>
        </w:tc>
      </w:tr>
      <w:tr w:rsidR="00000000">
        <w:trPr>
          <w:divId w:val="447241612"/>
        </w:trPr>
        <w:tc>
          <w:tcPr>
            <w:tcW w:w="26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87683" w:rsidRDefault="00E87683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感染性食道炎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(Infectious)</w:t>
            </w:r>
          </w:p>
        </w:tc>
        <w:tc>
          <w:tcPr>
            <w:tcW w:w="18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87683" w:rsidRDefault="00E87683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多發性潰瘍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點狀分布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表淺性</w:t>
            </w:r>
          </w:p>
        </w:tc>
        <w:tc>
          <w:tcPr>
            <w:tcW w:w="20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87683" w:rsidRDefault="00E87683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瀰漫性分布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可見於各個部位</w:t>
            </w:r>
          </w:p>
        </w:tc>
        <w:tc>
          <w:tcPr>
            <w:tcW w:w="20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87683" w:rsidRDefault="00E87683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常伴隨白苔覆蓋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邊緣不規則</w:t>
            </w:r>
          </w:p>
        </w:tc>
      </w:tr>
      <w:tr w:rsidR="00000000">
        <w:trPr>
          <w:divId w:val="447241612"/>
        </w:trPr>
        <w:tc>
          <w:tcPr>
            <w:tcW w:w="26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87683" w:rsidRDefault="00E87683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嗜酸性食道炎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(EoE)</w:t>
            </w:r>
          </w:p>
        </w:tc>
        <w:tc>
          <w:tcPr>
            <w:tcW w:w="18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87683" w:rsidRDefault="00E87683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通常無明顯潰瘍</w:t>
            </w:r>
          </w:p>
        </w:tc>
        <w:tc>
          <w:tcPr>
            <w:tcW w:w="20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87683" w:rsidRDefault="00E87683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可見於全食道</w:t>
            </w:r>
          </w:p>
        </w:tc>
        <w:tc>
          <w:tcPr>
            <w:tcW w:w="20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87683" w:rsidRDefault="00E87683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多發性食道環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縱行溝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白色點狀滲出物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食道狹窄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黏膜脆弱</w:t>
            </w:r>
          </w:p>
        </w:tc>
      </w:tr>
      <w:tr w:rsidR="00000000">
        <w:trPr>
          <w:divId w:val="447241612"/>
        </w:trPr>
        <w:tc>
          <w:tcPr>
            <w:tcW w:w="26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87683" w:rsidRDefault="00E87683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藥物性食道炎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(Pill)</w:t>
            </w:r>
          </w:p>
        </w:tc>
        <w:tc>
          <w:tcPr>
            <w:tcW w:w="18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87683" w:rsidRDefault="00E87683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單一潰瘍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深部潰瘍</w:t>
            </w:r>
          </w:p>
        </w:tc>
        <w:tc>
          <w:tcPr>
            <w:tcW w:w="20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87683" w:rsidRDefault="00E87683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常見於管腔狹窄處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特別是隆突處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遠端食道通常正常</w:t>
            </w:r>
          </w:p>
        </w:tc>
        <w:tc>
          <w:tcPr>
            <w:tcW w:w="20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87683" w:rsidRDefault="00E87683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潰瘍邊緣清晰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周圍黏膜正常</w:t>
            </w:r>
          </w:p>
        </w:tc>
      </w:tr>
    </w:tbl>
    <w:p w:rsidR="00E87683" w:rsidRDefault="00E87683">
      <w:pPr>
        <w:numPr>
          <w:ilvl w:val="1"/>
          <w:numId w:val="4"/>
        </w:numPr>
        <w:spacing w:line="360" w:lineRule="atLeast"/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 xml:space="preserve">LA 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分類（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Los Angeles Classification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）</w:t>
      </w:r>
    </w:p>
    <w:p w:rsidR="00E87683" w:rsidRDefault="00E87683">
      <w:pPr>
        <w:numPr>
          <w:ilvl w:val="2"/>
          <w:numId w:val="4"/>
        </w:numPr>
        <w:textAlignment w:val="center"/>
        <w:divId w:val="1361397893"/>
        <w:rPr>
          <w:rFonts w:ascii="Calibri" w:hAnsi="Calibri" w:cs="Calibri"/>
          <w:sz w:val="22"/>
          <w:szCs w:val="22"/>
        </w:rPr>
      </w:pPr>
    </w:p>
    <w:tbl>
      <w:tblPr>
        <w:tblW w:w="0" w:type="auto"/>
        <w:tblInd w:w="216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87"/>
        <w:gridCol w:w="5139"/>
      </w:tblGrid>
      <w:tr w:rsidR="00000000">
        <w:trPr>
          <w:divId w:val="1361397893"/>
        </w:trPr>
        <w:tc>
          <w:tcPr>
            <w:tcW w:w="11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87683" w:rsidRDefault="00E87683">
            <w:pPr>
              <w:pStyle w:val="Web"/>
              <w:spacing w:before="0" w:beforeAutospacing="0" w:after="0" w:afterAutospacing="0" w:line="320" w:lineRule="atLeast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分類等級</w:t>
            </w:r>
          </w:p>
        </w:tc>
        <w:tc>
          <w:tcPr>
            <w:tcW w:w="65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87683" w:rsidRDefault="00E87683">
            <w:pPr>
              <w:pStyle w:val="Web"/>
              <w:spacing w:before="0" w:beforeAutospacing="0" w:after="0" w:afterAutospacing="0" w:line="320" w:lineRule="atLeast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內視鏡特徵描述</w:t>
            </w:r>
          </w:p>
        </w:tc>
      </w:tr>
      <w:tr w:rsidR="00000000">
        <w:trPr>
          <w:divId w:val="1361397893"/>
        </w:trPr>
        <w:tc>
          <w:tcPr>
            <w:tcW w:w="11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87683" w:rsidRDefault="00E87683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級</w:t>
            </w:r>
          </w:p>
        </w:tc>
        <w:tc>
          <w:tcPr>
            <w:tcW w:w="65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87683" w:rsidRDefault="00E87683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一條或多條黏膜破損，長度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&lt;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5 mm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，且未跨越黏膜皺褶間距</w:t>
            </w:r>
          </w:p>
        </w:tc>
      </w:tr>
      <w:tr w:rsidR="00000000">
        <w:trPr>
          <w:divId w:val="1361397893"/>
        </w:trPr>
        <w:tc>
          <w:tcPr>
            <w:tcW w:w="11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87683" w:rsidRDefault="00E87683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B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級</w:t>
            </w:r>
          </w:p>
        </w:tc>
        <w:tc>
          <w:tcPr>
            <w:tcW w:w="65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87683" w:rsidRDefault="00E87683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一條或多條黏膜破損，長度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&gt; 5 mm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，但仍未跨越黏膜皺褶間距</w:t>
            </w:r>
          </w:p>
        </w:tc>
      </w:tr>
      <w:tr w:rsidR="00000000">
        <w:trPr>
          <w:divId w:val="1361397893"/>
        </w:trPr>
        <w:tc>
          <w:tcPr>
            <w:tcW w:w="11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87683" w:rsidRDefault="00E87683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級</w:t>
            </w:r>
          </w:p>
        </w:tc>
        <w:tc>
          <w:tcPr>
            <w:tcW w:w="66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87683" w:rsidRDefault="00E87683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黏膜破損延伸至跨越兩個或更多皺褶之間，但仍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&lt; 75%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的食道周徑</w:t>
            </w:r>
          </w:p>
        </w:tc>
      </w:tr>
      <w:tr w:rsidR="00000000">
        <w:trPr>
          <w:divId w:val="1361397893"/>
        </w:trPr>
        <w:tc>
          <w:tcPr>
            <w:tcW w:w="11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87683" w:rsidRDefault="00E87683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D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級</w:t>
            </w:r>
          </w:p>
        </w:tc>
        <w:tc>
          <w:tcPr>
            <w:tcW w:w="65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87683" w:rsidRDefault="00E87683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黏膜破損跨越至少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75%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的食道周徑</w:t>
            </w:r>
          </w:p>
        </w:tc>
      </w:tr>
    </w:tbl>
    <w:p w:rsidR="00E87683" w:rsidRDefault="00E87683">
      <w:pPr>
        <w:pStyle w:val="Web"/>
        <w:spacing w:before="120" w:beforeAutospacing="0" w:after="120" w:afterAutospacing="0" w:line="420" w:lineRule="atLeast"/>
        <w:ind w:left="540"/>
        <w:rPr>
          <w:rFonts w:ascii="微軟正黑體" w:eastAsia="微軟正黑體" w:hAnsi="微軟正黑體" w:cs="Calibri" w:hint="eastAsia"/>
          <w:sz w:val="32"/>
          <w:szCs w:val="3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 </w:t>
      </w:r>
    </w:p>
    <w:p w:rsidR="00E87683" w:rsidRDefault="00E87683">
      <w:pPr>
        <w:numPr>
          <w:ilvl w:val="0"/>
          <w:numId w:val="5"/>
        </w:numPr>
        <w:spacing w:line="420" w:lineRule="atLeast"/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長期併發症</w:t>
      </w:r>
    </w:p>
    <w:p w:rsidR="00E87683" w:rsidRDefault="00E87683">
      <w:pPr>
        <w:numPr>
          <w:ilvl w:val="1"/>
          <w:numId w:val="5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慢性食道炎</w:t>
      </w:r>
    </w:p>
    <w:p w:rsidR="00E87683" w:rsidRDefault="00E87683">
      <w:pPr>
        <w:numPr>
          <w:ilvl w:val="2"/>
          <w:numId w:val="5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出血、食道狹窄</w:t>
      </w:r>
    </w:p>
    <w:p w:rsidR="00E87683" w:rsidRDefault="00E87683">
      <w:pPr>
        <w:numPr>
          <w:ilvl w:val="1"/>
          <w:numId w:val="5"/>
        </w:numPr>
        <w:spacing w:line="360" w:lineRule="atLeast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巴瑞特氏食道</w:t>
      </w:r>
    </w:p>
    <w:p w:rsidR="00E87683" w:rsidRDefault="00E87683">
      <w:pPr>
        <w:numPr>
          <w:ilvl w:val="2"/>
          <w:numId w:val="5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內視鏡下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 xml:space="preserve">: 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胃食道接合處向上延伸的鮭魚紅色黏膜</w:t>
      </w:r>
    </w:p>
    <w:p w:rsidR="00E87683" w:rsidRDefault="00E87683">
      <w:pPr>
        <w:numPr>
          <w:ilvl w:val="2"/>
          <w:numId w:val="5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腸化生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(intestinal metaplasia)</w:t>
      </w:r>
    </w:p>
    <w:p w:rsidR="00E87683" w:rsidRDefault="00E87683">
      <w:pPr>
        <w:numPr>
          <w:ilvl w:val="3"/>
          <w:numId w:val="5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食道下段的鱗狀上皮被柱狀上皮取代</w:t>
      </w:r>
    </w:p>
    <w:p w:rsidR="00E87683" w:rsidRDefault="00E87683">
      <w:pPr>
        <w:numPr>
          <w:ilvl w:val="3"/>
          <w:numId w:val="5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杯細胞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(Goblet cell)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產生</w:t>
      </w:r>
    </w:p>
    <w:p w:rsidR="00E87683" w:rsidRDefault="00E87683">
      <w:pPr>
        <w:numPr>
          <w:ilvl w:val="2"/>
          <w:numId w:val="5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有癌化風險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腺癌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)</w:t>
      </w:r>
    </w:p>
    <w:p w:rsidR="00E87683" w:rsidRDefault="00E87683">
      <w:pPr>
        <w:numPr>
          <w:ilvl w:val="2"/>
          <w:numId w:val="5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治療</w:t>
      </w:r>
      <w:r>
        <w:rPr>
          <w:rFonts w:ascii="微軟正黑體" w:eastAsia="微軟正黑體" w:hAnsi="微軟正黑體" w:cs="Calibri" w:hint="eastAsia"/>
          <w:sz w:val="22"/>
          <w:szCs w:val="22"/>
        </w:rPr>
        <w:t>:</w:t>
      </w:r>
    </w:p>
    <w:p w:rsidR="00E87683" w:rsidRDefault="00E87683">
      <w:pPr>
        <w:numPr>
          <w:ilvl w:val="3"/>
          <w:numId w:val="5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high-dose proton pump inhibitor (PPI) </w:t>
      </w:r>
      <w:r>
        <w:rPr>
          <w:rFonts w:ascii="微軟正黑體" w:eastAsia="微軟正黑體" w:hAnsi="微軟正黑體" w:cs="Calibri" w:hint="eastAsia"/>
          <w:sz w:val="22"/>
          <w:szCs w:val="22"/>
        </w:rPr>
        <w:t>合併</w:t>
      </w:r>
      <w:r>
        <w:rPr>
          <w:rFonts w:ascii="微軟正黑體" w:eastAsia="微軟正黑體" w:hAnsi="微軟正黑體" w:cs="Calibri" w:hint="eastAsia"/>
          <w:sz w:val="22"/>
          <w:szCs w:val="22"/>
        </w:rPr>
        <w:br/>
        <w:t xml:space="preserve">aspirin </w:t>
      </w:r>
    </w:p>
    <w:p w:rsidR="00E87683" w:rsidRDefault="00E87683">
      <w:pPr>
        <w:numPr>
          <w:ilvl w:val="4"/>
          <w:numId w:val="5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無法阻止癌化風險</w:t>
      </w:r>
    </w:p>
    <w:p w:rsidR="00E87683" w:rsidRDefault="00E87683">
      <w:pPr>
        <w:numPr>
          <w:ilvl w:val="4"/>
          <w:numId w:val="5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能延長整體生存率</w:t>
      </w:r>
    </w:p>
    <w:p w:rsidR="00E87683" w:rsidRDefault="00E87683">
      <w:pPr>
        <w:numPr>
          <w:ilvl w:val="3"/>
          <w:numId w:val="5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對於高度異生組織，建議使用內視鏡電燒治療</w:t>
      </w:r>
    </w:p>
    <w:p w:rsidR="00E87683" w:rsidRDefault="00E87683">
      <w:pPr>
        <w:numPr>
          <w:ilvl w:val="0"/>
          <w:numId w:val="5"/>
        </w:numPr>
        <w:spacing w:line="420" w:lineRule="atLeast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治療</w:t>
      </w:r>
    </w:p>
    <w:p w:rsidR="00E87683" w:rsidRDefault="00E87683">
      <w:pPr>
        <w:numPr>
          <w:ilvl w:val="1"/>
          <w:numId w:val="5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生活調整</w:t>
      </w:r>
    </w:p>
    <w:p w:rsidR="00E87683" w:rsidRDefault="00E87683">
      <w:pPr>
        <w:numPr>
          <w:ilvl w:val="2"/>
          <w:numId w:val="5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避免「致逆流」食物：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 xml:space="preserve">  </w:t>
      </w:r>
    </w:p>
    <w:p w:rsidR="00E87683" w:rsidRDefault="00E87683">
      <w:pPr>
        <w:numPr>
          <w:ilvl w:val="3"/>
          <w:numId w:val="5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高脂肪食物</w:t>
      </w:r>
    </w:p>
    <w:p w:rsidR="00E87683" w:rsidRDefault="00E87683">
      <w:pPr>
        <w:numPr>
          <w:ilvl w:val="3"/>
          <w:numId w:val="5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酒精</w:t>
      </w:r>
    </w:p>
    <w:p w:rsidR="00E87683" w:rsidRDefault="00E87683">
      <w:pPr>
        <w:numPr>
          <w:ilvl w:val="3"/>
          <w:numId w:val="5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留蘭香</w:t>
      </w:r>
    </w:p>
    <w:p w:rsidR="00E87683" w:rsidRDefault="00E87683">
      <w:pPr>
        <w:numPr>
          <w:ilvl w:val="3"/>
          <w:numId w:val="5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薄荷</w:t>
      </w:r>
    </w:p>
    <w:p w:rsidR="00E87683" w:rsidRDefault="00E87683">
      <w:pPr>
        <w:numPr>
          <w:ilvl w:val="3"/>
          <w:numId w:val="5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咖啡和茶</w:t>
      </w:r>
    </w:p>
    <w:p w:rsidR="00E87683" w:rsidRDefault="00E87683">
      <w:pPr>
        <w:numPr>
          <w:ilvl w:val="2"/>
          <w:numId w:val="5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避免刺激性酸性食物</w:t>
      </w:r>
    </w:p>
    <w:p w:rsidR="00E87683" w:rsidRDefault="00E87683">
      <w:pPr>
        <w:numPr>
          <w:ilvl w:val="3"/>
          <w:numId w:val="5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柑橘類水果</w:t>
      </w:r>
    </w:p>
    <w:p w:rsidR="00E87683" w:rsidRDefault="00E87683">
      <w:pPr>
        <w:numPr>
          <w:ilvl w:val="3"/>
          <w:numId w:val="5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番茄類食物</w:t>
      </w:r>
    </w:p>
    <w:p w:rsidR="00E87683" w:rsidRDefault="00E87683">
      <w:pPr>
        <w:numPr>
          <w:ilvl w:val="2"/>
          <w:numId w:val="5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其他行為建議</w:t>
      </w:r>
    </w:p>
    <w:p w:rsidR="00E87683" w:rsidRDefault="00E87683">
      <w:pPr>
        <w:numPr>
          <w:ilvl w:val="3"/>
          <w:numId w:val="5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抬高床頭（針對夜間症狀）</w:t>
      </w:r>
    </w:p>
    <w:p w:rsidR="00E87683" w:rsidRDefault="00E87683">
      <w:pPr>
        <w:numPr>
          <w:ilvl w:val="3"/>
          <w:numId w:val="5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避免睡前進食</w:t>
      </w:r>
    </w:p>
    <w:p w:rsidR="00E87683" w:rsidRDefault="00E87683">
      <w:pPr>
        <w:numPr>
          <w:ilvl w:val="3"/>
          <w:numId w:val="5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減重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（具有強烈流行病學證據支持）</w:t>
      </w:r>
    </w:p>
    <w:p w:rsidR="00E87683" w:rsidRDefault="00E87683">
      <w:pPr>
        <w:numPr>
          <w:ilvl w:val="1"/>
          <w:numId w:val="5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藥物治療</w:t>
      </w:r>
    </w:p>
    <w:p w:rsidR="00E87683" w:rsidRDefault="00E87683">
      <w:pPr>
        <w:numPr>
          <w:ilvl w:val="2"/>
          <w:numId w:val="5"/>
        </w:numPr>
        <w:textAlignment w:val="center"/>
        <w:divId w:val="1068961044"/>
        <w:rPr>
          <w:rFonts w:ascii="Calibri" w:hAnsi="Calibri" w:cs="Calibri"/>
          <w:sz w:val="22"/>
          <w:szCs w:val="22"/>
        </w:rPr>
      </w:pPr>
    </w:p>
    <w:tbl>
      <w:tblPr>
        <w:tblW w:w="0" w:type="auto"/>
        <w:tblInd w:w="216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820"/>
        <w:gridCol w:w="1779"/>
        <w:gridCol w:w="795"/>
        <w:gridCol w:w="948"/>
        <w:gridCol w:w="972"/>
        <w:gridCol w:w="812"/>
      </w:tblGrid>
      <w:tr w:rsidR="00000000">
        <w:trPr>
          <w:divId w:val="1068961044"/>
        </w:trPr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87683" w:rsidRDefault="00E87683">
            <w:pPr>
              <w:pStyle w:val="Web"/>
              <w:spacing w:before="0" w:beforeAutospacing="0" w:after="0" w:afterAutospacing="0" w:line="320" w:lineRule="atLeast"/>
              <w:jc w:val="center"/>
              <w:rPr>
                <w:rFonts w:ascii="微軟正黑體" w:eastAsia="微軟正黑體" w:hAnsi="微軟正黑體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藥物分類</w:t>
            </w:r>
          </w:p>
        </w:tc>
        <w:tc>
          <w:tcPr>
            <w:tcW w:w="20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87683" w:rsidRDefault="00E87683">
            <w:pPr>
              <w:pStyle w:val="Web"/>
              <w:spacing w:before="0" w:beforeAutospacing="0" w:after="0" w:afterAutospacing="0" w:line="320" w:lineRule="atLeast"/>
              <w:jc w:val="center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代表藥物</w:t>
            </w:r>
          </w:p>
        </w:tc>
        <w:tc>
          <w:tcPr>
            <w:tcW w:w="13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87683" w:rsidRDefault="00E87683">
            <w:pPr>
              <w:pStyle w:val="Web"/>
              <w:spacing w:before="0" w:beforeAutospacing="0" w:after="0" w:afterAutospacing="0" w:line="320" w:lineRule="atLeast"/>
              <w:jc w:val="center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作用機制</w:t>
            </w:r>
          </w:p>
        </w:tc>
        <w:tc>
          <w:tcPr>
            <w:tcW w:w="19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87683" w:rsidRDefault="00E87683">
            <w:pPr>
              <w:pStyle w:val="Web"/>
              <w:spacing w:before="0" w:beforeAutospacing="0" w:after="0" w:afterAutospacing="0" w:line="320" w:lineRule="atLeast"/>
              <w:jc w:val="center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主要功效</w:t>
            </w:r>
          </w:p>
        </w:tc>
        <w:tc>
          <w:tcPr>
            <w:tcW w:w="12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87683" w:rsidRDefault="00E87683">
            <w:pPr>
              <w:pStyle w:val="Web"/>
              <w:spacing w:before="0" w:beforeAutospacing="0" w:after="0" w:afterAutospacing="0" w:line="320" w:lineRule="atLeast"/>
              <w:jc w:val="center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副作用</w:t>
            </w:r>
          </w:p>
        </w:tc>
        <w:tc>
          <w:tcPr>
            <w:tcW w:w="12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87683" w:rsidRDefault="00E87683">
            <w:pPr>
              <w:pStyle w:val="Web"/>
              <w:spacing w:before="0" w:beforeAutospacing="0" w:after="0" w:afterAutospacing="0" w:line="320" w:lineRule="atLeast"/>
              <w:jc w:val="center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特殊注意事項</w:t>
            </w:r>
          </w:p>
        </w:tc>
      </w:tr>
      <w:tr w:rsidR="00000000">
        <w:trPr>
          <w:divId w:val="1068961044"/>
        </w:trPr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87683" w:rsidRDefault="00E87683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制酸劑</w:t>
            </w:r>
          </w:p>
        </w:tc>
        <w:tc>
          <w:tcPr>
            <w:tcW w:w="20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87683" w:rsidRDefault="00E87683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氫氧化鋁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氫氧化鎂</w:t>
            </w:r>
          </w:p>
        </w:tc>
        <w:tc>
          <w:tcPr>
            <w:tcW w:w="13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87683" w:rsidRDefault="00E87683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中和胃酸</w:t>
            </w:r>
          </w:p>
        </w:tc>
        <w:tc>
          <w:tcPr>
            <w:tcW w:w="19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87683" w:rsidRDefault="00E87683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快速緩解胃酸症狀</w:t>
            </w:r>
          </w:p>
        </w:tc>
        <w:tc>
          <w:tcPr>
            <w:tcW w:w="12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87683" w:rsidRDefault="00E87683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便秘（鋁）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腹瀉（鎂）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影響礦物質吸收</w:t>
            </w:r>
          </w:p>
        </w:tc>
        <w:tc>
          <w:tcPr>
            <w:tcW w:w="12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87683" w:rsidRDefault="00E87683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與其他藥物間隔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2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小時服用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不適合長期使用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腎功能不全者需謹慎</w:t>
            </w:r>
          </w:p>
        </w:tc>
      </w:tr>
      <w:tr w:rsidR="00000000">
        <w:trPr>
          <w:divId w:val="1068961044"/>
        </w:trPr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87683" w:rsidRDefault="00E87683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黏膜保護劑</w:t>
            </w:r>
          </w:p>
        </w:tc>
        <w:tc>
          <w:tcPr>
            <w:tcW w:w="20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87683" w:rsidRDefault="00E87683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Sucralfate</w:t>
            </w:r>
          </w:p>
        </w:tc>
        <w:tc>
          <w:tcPr>
            <w:tcW w:w="14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87683" w:rsidRDefault="00E87683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在胃黏膜形成保護膜</w:t>
            </w:r>
          </w:p>
        </w:tc>
        <w:tc>
          <w:tcPr>
            <w:tcW w:w="19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87683" w:rsidRDefault="00E87683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保護受損黏膜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促進傷口癒合</w:t>
            </w:r>
          </w:p>
        </w:tc>
        <w:tc>
          <w:tcPr>
            <w:tcW w:w="12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87683" w:rsidRDefault="00E87683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便秘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影響藥物吸收</w:t>
            </w:r>
          </w:p>
        </w:tc>
        <w:tc>
          <w:tcPr>
            <w:tcW w:w="12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87683" w:rsidRDefault="00E87683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需空腹服用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與其他藥物間隔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2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小時</w:t>
            </w:r>
          </w:p>
        </w:tc>
      </w:tr>
      <w:tr w:rsidR="00000000">
        <w:trPr>
          <w:divId w:val="1068961044"/>
        </w:trPr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87683" w:rsidRDefault="00E87683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H2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受體拮抗劑</w:t>
            </w:r>
          </w:p>
        </w:tc>
        <w:tc>
          <w:tcPr>
            <w:tcW w:w="20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87683" w:rsidRDefault="00E87683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Ranitidine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 Famotidine</w:t>
            </w:r>
          </w:p>
        </w:tc>
        <w:tc>
          <w:tcPr>
            <w:tcW w:w="14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87683" w:rsidRDefault="00E87683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抑制組織胺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H2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受體</w:t>
            </w:r>
          </w:p>
        </w:tc>
        <w:tc>
          <w:tcPr>
            <w:tcW w:w="19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87683" w:rsidRDefault="00E87683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中度抑制胃酸分泌</w:t>
            </w:r>
          </w:p>
        </w:tc>
        <w:tc>
          <w:tcPr>
            <w:tcW w:w="12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87683" w:rsidRDefault="00E87683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頭痛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腹瀉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疲倦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精神混亂（老年人）</w:t>
            </w:r>
          </w:p>
        </w:tc>
        <w:tc>
          <w:tcPr>
            <w:tcW w:w="12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87683" w:rsidRDefault="00E87683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腎功能不全需調整劑量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可能影響精神科藥物代謝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長期使用可能產生耐受性</w:t>
            </w:r>
          </w:p>
        </w:tc>
      </w:tr>
      <w:tr w:rsidR="00000000">
        <w:trPr>
          <w:divId w:val="1068961044"/>
        </w:trPr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87683" w:rsidRDefault="00E87683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質子幫浦抑制劑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br/>
              <w:t>(PPIs)</w:t>
            </w:r>
          </w:p>
        </w:tc>
        <w:tc>
          <w:tcPr>
            <w:tcW w:w="20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87683" w:rsidRDefault="00E87683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Omeprazole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 Esomeprazole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 Lansoprazole</w:t>
            </w:r>
          </w:p>
        </w:tc>
        <w:tc>
          <w:tcPr>
            <w:tcW w:w="14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87683" w:rsidRDefault="00E87683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抑制胃壁細胞質子幫浦</w:t>
            </w:r>
          </w:p>
        </w:tc>
        <w:tc>
          <w:tcPr>
            <w:tcW w:w="19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87683" w:rsidRDefault="00E87683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強效且持久抑制胃酸分泌</w:t>
            </w:r>
          </w:p>
        </w:tc>
        <w:tc>
          <w:tcPr>
            <w:tcW w:w="12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87683" w:rsidRDefault="00E87683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頭痛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腹瀉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維生素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B12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缺乏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b/>
                <w:bCs/>
                <w:color w:val="262626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b/>
                <w:bCs/>
                <w:color w:val="262626"/>
                <w:sz w:val="22"/>
                <w:szCs w:val="22"/>
              </w:rPr>
              <w:t>骨質疏鬆風險增加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腎功能損害風險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腸道菌群失調</w:t>
            </w:r>
          </w:p>
        </w:tc>
        <w:tc>
          <w:tcPr>
            <w:tcW w:w="12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87683" w:rsidRDefault="00E87683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可能影響抗憂鬱藥物代謝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長期使用需定期評估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監測骨密度和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B12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水平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停藥時需緩慢減量</w:t>
            </w:r>
          </w:p>
        </w:tc>
      </w:tr>
      <w:tr w:rsidR="00000000">
        <w:trPr>
          <w:divId w:val="1068961044"/>
        </w:trPr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87683" w:rsidRDefault="00E87683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胃腸蠕動促進劑</w:t>
            </w:r>
          </w:p>
        </w:tc>
        <w:tc>
          <w:tcPr>
            <w:tcW w:w="20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87683" w:rsidRDefault="00E87683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Mosapride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 Domperidone</w:t>
            </w:r>
          </w:p>
        </w:tc>
        <w:tc>
          <w:tcPr>
            <w:tcW w:w="14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87683" w:rsidRDefault="00E87683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增加乙醯膽鹼釋放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促進胃腸蠕動</w:t>
            </w:r>
          </w:p>
        </w:tc>
        <w:tc>
          <w:tcPr>
            <w:tcW w:w="19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87683" w:rsidRDefault="00E87683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改善胃排空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降低逆流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緩解噁心嘔吐</w:t>
            </w:r>
          </w:p>
        </w:tc>
        <w:tc>
          <w:tcPr>
            <w:tcW w:w="12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87683" w:rsidRDefault="00E87683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錐體外症狀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靜躁不安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乳汁分泌增加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心律不整風險</w:t>
            </w:r>
          </w:p>
        </w:tc>
        <w:tc>
          <w:tcPr>
            <w:tcW w:w="12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87683" w:rsidRDefault="00E87683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與抗精神病藥物併用風險高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使用時間不宜超過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12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週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老年人需降低劑量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注意心臟病史</w:t>
            </w:r>
          </w:p>
        </w:tc>
      </w:tr>
    </w:tbl>
    <w:p w:rsidR="00E87683" w:rsidRDefault="00E87683">
      <w:pPr>
        <w:numPr>
          <w:ilvl w:val="2"/>
          <w:numId w:val="5"/>
        </w:numPr>
        <w:spacing w:line="280" w:lineRule="atLeast"/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藥物治療以抑制胃酸分泌為主，其中</w:t>
      </w:r>
      <w:r>
        <w:rPr>
          <w:rFonts w:ascii="微軟正黑體" w:eastAsia="微軟正黑體" w:hAnsi="微軟正黑體" w:cs="Calibri" w:hint="eastAsia"/>
          <w:sz w:val="22"/>
          <w:szCs w:val="22"/>
        </w:rPr>
        <w:t>PPI</w:t>
      </w:r>
      <w:r>
        <w:rPr>
          <w:rFonts w:ascii="微軟正黑體" w:eastAsia="微軟正黑體" w:hAnsi="微軟正黑體" w:cs="Calibri" w:hint="eastAsia"/>
          <w:sz w:val="22"/>
          <w:szCs w:val="22"/>
        </w:rPr>
        <w:t>效果優於</w:t>
      </w:r>
      <w:r>
        <w:rPr>
          <w:rFonts w:ascii="微軟正黑體" w:eastAsia="微軟正黑體" w:hAnsi="微軟正黑體" w:cs="Calibri" w:hint="eastAsia"/>
          <w:sz w:val="22"/>
          <w:szCs w:val="22"/>
        </w:rPr>
        <w:t>H2R blocker</w:t>
      </w:r>
    </w:p>
    <w:p w:rsidR="00E87683" w:rsidRDefault="00E87683">
      <w:pPr>
        <w:numPr>
          <w:ilvl w:val="2"/>
          <w:numId w:val="5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若以上藥物效果均不佳，可考慮加上膽酸結合劑</w:t>
      </w:r>
    </w:p>
    <w:p w:rsidR="00E87683" w:rsidRDefault="00E87683">
      <w:pPr>
        <w:numPr>
          <w:ilvl w:val="1"/>
          <w:numId w:val="5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手術治療</w:t>
      </w:r>
    </w:p>
    <w:p w:rsidR="00E87683" w:rsidRDefault="00E87683">
      <w:pPr>
        <w:numPr>
          <w:ilvl w:val="2"/>
          <w:numId w:val="5"/>
        </w:numPr>
        <w:spacing w:line="280" w:lineRule="atLeast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腹腔鏡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Nissen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胃底折疊術</w:t>
      </w:r>
    </w:p>
    <w:p w:rsidR="00E87683" w:rsidRDefault="00E87683">
      <w:pPr>
        <w:pStyle w:val="Web"/>
        <w:spacing w:before="120" w:beforeAutospacing="0" w:after="120" w:afterAutospacing="0" w:line="360" w:lineRule="atLeast"/>
        <w:ind w:left="540"/>
        <w:rPr>
          <w:rFonts w:ascii="微軟正黑體" w:eastAsia="微軟正黑體" w:hAnsi="微軟正黑體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 </w:t>
      </w:r>
    </w:p>
    <w:p w:rsidR="00E87683" w:rsidRDefault="00E87683">
      <w:pPr>
        <w:numPr>
          <w:ilvl w:val="0"/>
          <w:numId w:val="6"/>
        </w:numPr>
        <w:spacing w:line="420" w:lineRule="atLeast"/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Reference</w:t>
      </w:r>
    </w:p>
    <w:p w:rsidR="00E87683" w:rsidRDefault="00E87683">
      <w:pPr>
        <w:numPr>
          <w:ilvl w:val="1"/>
          <w:numId w:val="6"/>
        </w:numPr>
        <w:spacing w:line="4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Harrison's principles</w:t>
      </w:r>
    </w:p>
    <w:p w:rsidR="00E87683" w:rsidRDefault="00E87683">
      <w:pPr>
        <w:numPr>
          <w:ilvl w:val="1"/>
          <w:numId w:val="6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12121"/>
          <w:sz w:val="28"/>
          <w:szCs w:val="28"/>
        </w:rPr>
        <w:t>Sharma P, Yadlapati R. Pathophysiology and treatment options for gastroesophageal reflux disease: looking beyond acid. Ann N Y Acad Sci. 2021 Feb;1486(1):3-14. doi: 10.1111/nyas.14501</w:t>
      </w:r>
    </w:p>
    <w:p w:rsidR="00E87683" w:rsidRDefault="00E87683">
      <w:pPr>
        <w:pStyle w:val="Web"/>
        <w:spacing w:before="120" w:beforeAutospacing="0" w:after="120" w:afterAutospacing="0" w:line="360" w:lineRule="atLeast"/>
        <w:rPr>
          <w:rFonts w:ascii="微軟正黑體" w:eastAsia="微軟正黑體" w:hAnsi="微軟正黑體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 </w:t>
      </w:r>
    </w:p>
    <w:p w:rsidR="00E87683" w:rsidRDefault="00E87683">
      <w:pPr>
        <w:pStyle w:val="Web"/>
        <w:spacing w:before="120" w:beforeAutospacing="0" w:after="120" w:afterAutospacing="0" w:line="360" w:lineRule="atLeast"/>
        <w:rPr>
          <w:rFonts w:ascii="微軟正黑體" w:eastAsia="微軟正黑體" w:hAnsi="微軟正黑體" w:cs="Calibri" w:hint="eastAsia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 </w:t>
      </w:r>
    </w:p>
    <w:p w:rsidR="00E87683" w:rsidRDefault="00E87683">
      <w:pPr>
        <w:pStyle w:val="Web"/>
        <w:spacing w:before="120" w:beforeAutospacing="0" w:after="120" w:afterAutospacing="0" w:line="420" w:lineRule="atLeast"/>
        <w:rPr>
          <w:rFonts w:ascii="微軟正黑體" w:eastAsia="微軟正黑體" w:hAnsi="微軟正黑體" w:cs="Calibri" w:hint="eastAsia"/>
          <w:sz w:val="32"/>
          <w:szCs w:val="3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 </w:t>
      </w:r>
    </w:p>
    <w:p w:rsidR="00E87683" w:rsidRDefault="00E87683">
      <w:pPr>
        <w:pStyle w:val="Web"/>
        <w:spacing w:before="120" w:beforeAutospacing="0" w:after="120" w:afterAutospacing="0" w:line="420" w:lineRule="atLeast"/>
        <w:rPr>
          <w:rFonts w:ascii="微軟正黑體" w:eastAsia="微軟正黑體" w:hAnsi="微軟正黑體" w:cs="Calibri" w:hint="eastAsia"/>
          <w:sz w:val="32"/>
          <w:szCs w:val="3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 </w:t>
      </w:r>
    </w:p>
    <w:p w:rsidR="00E87683" w:rsidRDefault="00E87683">
      <w:pPr>
        <w:pStyle w:val="Web"/>
        <w:spacing w:before="0" w:beforeAutospacing="0" w:after="0" w:afterAutospacing="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87683" w:rsidRDefault="00E87683" w:rsidP="00E87683">
      <w:r>
        <w:separator/>
      </w:r>
    </w:p>
  </w:endnote>
  <w:endnote w:type="continuationSeparator" w:id="0">
    <w:p w:rsidR="00E87683" w:rsidRDefault="00E87683" w:rsidP="00E876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87683" w:rsidRDefault="00E87683" w:rsidP="00E87683">
      <w:r>
        <w:separator/>
      </w:r>
    </w:p>
  </w:footnote>
  <w:footnote w:type="continuationSeparator" w:id="0">
    <w:p w:rsidR="00E87683" w:rsidRDefault="00E87683" w:rsidP="00E8768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C1114"/>
    <w:multiLevelType w:val="multilevel"/>
    <w:tmpl w:val="7930C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18B32DA"/>
    <w:multiLevelType w:val="multilevel"/>
    <w:tmpl w:val="13BA2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9C8427C"/>
    <w:multiLevelType w:val="multilevel"/>
    <w:tmpl w:val="B510C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B966483"/>
    <w:multiLevelType w:val="multilevel"/>
    <w:tmpl w:val="A6221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AD511BA"/>
    <w:multiLevelType w:val="multilevel"/>
    <w:tmpl w:val="984E6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D807389"/>
    <w:multiLevelType w:val="multilevel"/>
    <w:tmpl w:val="57105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71849753">
    <w:abstractNumId w:val="0"/>
  </w:num>
  <w:num w:numId="2" w16cid:durableId="1880555908">
    <w:abstractNumId w:val="5"/>
  </w:num>
  <w:num w:numId="3" w16cid:durableId="2068146606">
    <w:abstractNumId w:val="3"/>
  </w:num>
  <w:num w:numId="4" w16cid:durableId="158665585">
    <w:abstractNumId w:val="4"/>
  </w:num>
  <w:num w:numId="5" w16cid:durableId="332924148">
    <w:abstractNumId w:val="1"/>
  </w:num>
  <w:num w:numId="6" w16cid:durableId="17640356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683"/>
    <w:rsid w:val="001B09D5"/>
    <w:rsid w:val="00E87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FBBD8F7B-64DC-4EE4-8236-0751ED92E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E8768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E87683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E8768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E87683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72416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610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78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388</Words>
  <Characters>2217</Characters>
  <Application>Microsoft Office Word</Application>
  <DocSecurity>0</DocSecurity>
  <Lines>18</Lines>
  <Paragraphs>5</Paragraphs>
  <ScaleCrop>false</ScaleCrop>
  <Company/>
  <LinksUpToDate>false</LinksUpToDate>
  <CharactersWithSpaces>2600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2025-07-27T07:35:00Z</dcterms:created>
  <dcterms:modified xsi:type="dcterms:W3CDTF">2025-07-27T07:35:00Z</dcterms:modified>
</cp:coreProperties>
</file>