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5C24" w:rsidRDefault="00835C24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上肢深層靜脈栓塞（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Upper Extremity Deep Vein Thrombosis, UEDVT</w:t>
      </w: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）</w:t>
      </w:r>
    </w:p>
    <w:p w:rsidR="00835C24" w:rsidRDefault="00835C24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Wednesday, June 11, 2025</w:t>
      </w:r>
    </w:p>
    <w:p w:rsidR="00835C24" w:rsidRDefault="00835C24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12:26 PM</w:t>
      </w:r>
    </w:p>
    <w:p w:rsidR="00835C24" w:rsidRDefault="00835C24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定義</w:t>
      </w:r>
    </w:p>
    <w:p w:rsidR="00835C24" w:rsidRDefault="00835C2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上肢深層靜脈中有血栓形成</w:t>
      </w:r>
    </w:p>
    <w:p w:rsidR="00835C24" w:rsidRDefault="00835C24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流行病學</w:t>
      </w:r>
    </w:p>
    <w:p w:rsidR="00835C24" w:rsidRDefault="00835C2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上肢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 &lt;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下肢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僅佔全部</w:t>
      </w:r>
      <w:r>
        <w:rPr>
          <w:rFonts w:ascii="Calibri" w:hAnsi="Calibri" w:cs="Calibri"/>
          <w:color w:val="ED7D31"/>
          <w:sz w:val="22"/>
          <w:szCs w:val="22"/>
        </w:rPr>
        <w:t>DVT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的</w:t>
      </w:r>
      <w:r>
        <w:rPr>
          <w:rFonts w:ascii="Calibri" w:hAnsi="Calibri" w:cs="Calibri"/>
          <w:color w:val="ED7D31"/>
          <w:sz w:val="22"/>
          <w:szCs w:val="22"/>
        </w:rPr>
        <w:t>5%</w:t>
      </w:r>
    </w:p>
    <w:p w:rsidR="00835C24" w:rsidRDefault="00835C2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原發性多發於年輕人</w:t>
      </w:r>
      <w:r>
        <w:rPr>
          <w:rFonts w:ascii="微軟正黑體" w:eastAsia="微軟正黑體" w:hAnsi="微軟正黑體" w:cs="Calibri" w:hint="eastAsia"/>
          <w:sz w:val="22"/>
          <w:szCs w:val="22"/>
        </w:rPr>
        <w:t>；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次發性多見於年長者</w:t>
      </w:r>
    </w:p>
    <w:p w:rsidR="00835C24" w:rsidRDefault="00835C2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次發性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 &gt;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原發性</w:t>
      </w:r>
    </w:p>
    <w:p w:rsidR="00835C24" w:rsidRDefault="00835C2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近端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 &gt;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遠端</w:t>
      </w:r>
      <w:r>
        <w:rPr>
          <w:rFonts w:ascii="微軟正黑體" w:eastAsia="微軟正黑體" w:hAnsi="微軟正黑體" w:cs="Calibri" w:hint="eastAsia"/>
          <w:sz w:val="22"/>
          <w:szCs w:val="22"/>
        </w:rPr>
        <w:t>，其中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鎖骨下靜脈</w:t>
      </w:r>
      <w:r>
        <w:rPr>
          <w:rFonts w:ascii="微軟正黑體" w:eastAsia="微軟正黑體" w:hAnsi="微軟正黑體" w:cs="Calibri" w:hint="eastAsia"/>
          <w:sz w:val="22"/>
          <w:szCs w:val="22"/>
        </w:rPr>
        <w:t>是最常受影響的部位</w:t>
      </w:r>
    </w:p>
    <w:p w:rsidR="00835C24" w:rsidRDefault="00835C2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約</w:t>
      </w:r>
      <w:r>
        <w:rPr>
          <w:rFonts w:ascii="Calibri" w:hAnsi="Calibri" w:cs="Calibri"/>
          <w:sz w:val="22"/>
          <w:szCs w:val="22"/>
        </w:rPr>
        <w:t xml:space="preserve"> 60% </w:t>
      </w:r>
      <w:r>
        <w:rPr>
          <w:rFonts w:ascii="微軟正黑體" w:eastAsia="微軟正黑體" w:hAnsi="微軟正黑體" w:cs="Calibri" w:hint="eastAsia"/>
          <w:sz w:val="22"/>
          <w:szCs w:val="22"/>
        </w:rPr>
        <w:t>的</w:t>
      </w:r>
      <w:r>
        <w:rPr>
          <w:rFonts w:ascii="Calibri" w:hAnsi="Calibri" w:cs="Calibri"/>
          <w:sz w:val="22"/>
          <w:szCs w:val="22"/>
        </w:rPr>
        <w:t xml:space="preserve"> UEDVT </w:t>
      </w:r>
      <w:r>
        <w:rPr>
          <w:rFonts w:ascii="微軟正黑體" w:eastAsia="微軟正黑體" w:hAnsi="微軟正黑體" w:cs="Calibri" w:hint="eastAsia"/>
          <w:sz w:val="22"/>
          <w:szCs w:val="22"/>
        </w:rPr>
        <w:t>患者會影響多條靜脈</w:t>
      </w:r>
    </w:p>
    <w:p w:rsidR="00835C24" w:rsidRDefault="00835C24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分類</w:t>
      </w:r>
    </w:p>
    <w:p w:rsidR="00835C24" w:rsidRDefault="00835C2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根據病變位置</w:t>
      </w:r>
    </w:p>
    <w:p w:rsidR="00835C24" w:rsidRDefault="00835C2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近端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腋靜脈（</w:t>
      </w:r>
      <w:r>
        <w:rPr>
          <w:rFonts w:ascii="Calibri" w:hAnsi="Calibri" w:cs="Calibri"/>
          <w:color w:val="C00000"/>
          <w:sz w:val="22"/>
          <w:szCs w:val="22"/>
        </w:rPr>
        <w:t>axillary vein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）、鎖骨下靜脈（</w:t>
      </w:r>
      <w:r>
        <w:rPr>
          <w:rFonts w:ascii="Calibri" w:hAnsi="Calibri" w:cs="Calibri"/>
          <w:color w:val="C00000"/>
          <w:sz w:val="22"/>
          <w:szCs w:val="22"/>
        </w:rPr>
        <w:t>subclavian vein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835C24" w:rsidRDefault="00835C2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遠端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肱靜脈（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brachial vein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）、橈靜脈（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radial vein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）、尺靜脈（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ulnar vein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）、骨間靜脈（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interosseus veins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835C24" w:rsidRDefault="00835C2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根據病因</w:t>
      </w:r>
    </w:p>
    <w:p w:rsidR="00835C24" w:rsidRDefault="00835C2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原發性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年輕人</w:t>
      </w:r>
      <w:r>
        <w:rPr>
          <w:rFonts w:ascii="微軟正黑體" w:eastAsia="微軟正黑體" w:hAnsi="微軟正黑體" w:cs="Calibri" w:hint="eastAsia"/>
          <w:sz w:val="22"/>
          <w:szCs w:val="22"/>
        </w:rPr>
        <w:t>較常見</w:t>
      </w:r>
    </w:p>
    <w:p w:rsidR="00835C24" w:rsidRDefault="00835C24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靜脈型胸廓出口症候群（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Venous thoracic outlet syndrome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835C24" w:rsidRDefault="00835C24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反覆的外力壓迫鎖骨下靜脈</w:t>
      </w:r>
      <w:r>
        <w:rPr>
          <w:rFonts w:ascii="微軟正黑體" w:eastAsia="微軟正黑體" w:hAnsi="微軟正黑體" w:cs="Calibri" w:hint="eastAsia"/>
          <w:sz w:val="22"/>
          <w:szCs w:val="22"/>
        </w:rPr>
        <w:t>，導致血栓形成</w:t>
      </w:r>
    </w:p>
    <w:p w:rsidR="00835C24" w:rsidRDefault="00835C24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病因</w:t>
      </w:r>
    </w:p>
    <w:p w:rsidR="00835C24" w:rsidRDefault="00835C24">
      <w:pPr>
        <w:numPr>
          <w:ilvl w:val="6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肌肉量增加</w:t>
      </w:r>
    </w:p>
    <w:p w:rsidR="00835C24" w:rsidRDefault="00835C24">
      <w:pPr>
        <w:numPr>
          <w:ilvl w:val="6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結締組織纖維化</w:t>
      </w:r>
    </w:p>
    <w:p w:rsidR="00835C24" w:rsidRDefault="00835C24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解剖異常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肌筋膜帶（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myofascial bands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）、頸肋（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cervical rib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835C24" w:rsidRDefault="00835C2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>Paget-Schroetter syndrome</w:t>
      </w:r>
      <w:r>
        <w:rPr>
          <w:rFonts w:ascii="微軟正黑體" w:eastAsia="微軟正黑體" w:hAnsi="微軟正黑體" w:cs="Calibri" w:hint="eastAsia"/>
          <w:sz w:val="22"/>
          <w:szCs w:val="22"/>
        </w:rPr>
        <w:t>：努力性血栓形成（</w:t>
      </w:r>
      <w:r>
        <w:rPr>
          <w:rFonts w:ascii="Calibri" w:hAnsi="Calibri" w:cs="Calibri"/>
          <w:sz w:val="22"/>
          <w:szCs w:val="22"/>
        </w:rPr>
        <w:t>Effort-induced thrombosis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35C24" w:rsidRDefault="00835C24">
      <w:pPr>
        <w:numPr>
          <w:ilvl w:val="5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lastRenderedPageBreak/>
        <w:t>反覆劇烈使用上肢活動</w:t>
      </w:r>
      <w:r>
        <w:rPr>
          <w:rFonts w:ascii="微軟正黑體" w:eastAsia="微軟正黑體" w:hAnsi="微軟正黑體" w:cs="Calibri" w:hint="eastAsia"/>
          <w:sz w:val="22"/>
          <w:szCs w:val="22"/>
        </w:rPr>
        <w:t>，如：舉重、體操、操作風鎚（</w:t>
      </w:r>
      <w:r>
        <w:rPr>
          <w:rFonts w:ascii="Calibri" w:hAnsi="Calibri" w:cs="Calibri"/>
          <w:sz w:val="22"/>
          <w:szCs w:val="22"/>
        </w:rPr>
        <w:t>jackhammer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35C24" w:rsidRDefault="00835C2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Idiopathic</w:t>
      </w:r>
      <w:r>
        <w:rPr>
          <w:rFonts w:ascii="微軟正黑體" w:eastAsia="微軟正黑體" w:hAnsi="微軟正黑體" w:cs="Calibri" w:hint="eastAsia"/>
          <w:sz w:val="22"/>
          <w:szCs w:val="22"/>
        </w:rPr>
        <w:t>：原因不明</w:t>
      </w:r>
    </w:p>
    <w:p w:rsidR="00835C24" w:rsidRDefault="00835C2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續發性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年長患者</w:t>
      </w:r>
      <w:r>
        <w:rPr>
          <w:rFonts w:ascii="微軟正黑體" w:eastAsia="微軟正黑體" w:hAnsi="微軟正黑體" w:cs="Calibri" w:hint="eastAsia"/>
          <w:sz w:val="22"/>
          <w:szCs w:val="22"/>
        </w:rPr>
        <w:t>較多</w:t>
      </w:r>
    </w:p>
    <w:p w:rsidR="00835C24" w:rsidRDefault="00835C2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靜脈內裝置</w:t>
      </w:r>
    </w:p>
    <w:p w:rsidR="00835C24" w:rsidRDefault="00835C24">
      <w:pPr>
        <w:numPr>
          <w:ilvl w:val="5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中心靜脈導管（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central venous catheters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835C24" w:rsidRDefault="00835C24">
      <w:pPr>
        <w:numPr>
          <w:ilvl w:val="5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心律調節器導線（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pacemaker leads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835C24" w:rsidRDefault="00835C2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高凝血狀態（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Hypercoagulable states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835C24" w:rsidRDefault="00835C24">
      <w:pPr>
        <w:numPr>
          <w:ilvl w:val="5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惡性腫瘤</w:t>
      </w:r>
    </w:p>
    <w:p w:rsidR="00835C24" w:rsidRDefault="00835C24">
      <w:pPr>
        <w:numPr>
          <w:ilvl w:val="5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遺傳性血栓形成（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hereditary thrombophilia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835C24" w:rsidRDefault="00835C24">
      <w:pPr>
        <w:numPr>
          <w:ilvl w:val="5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懷孕</w:t>
      </w:r>
    </w:p>
    <w:p w:rsidR="00835C24" w:rsidRDefault="00835C24">
      <w:pPr>
        <w:numPr>
          <w:ilvl w:val="5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口服避孕藥</w:t>
      </w:r>
    </w:p>
    <w:p w:rsidR="00835C24" w:rsidRDefault="00835C24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長時間上肢不動（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Prolonged upper extremity immobilization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835C24" w:rsidRDefault="00835C24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臨床表現</w:t>
      </w:r>
    </w:p>
    <w:p w:rsidR="00835C24" w:rsidRDefault="00835C2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近端</w:t>
      </w:r>
      <w:r>
        <w:rPr>
          <w:rFonts w:ascii="Calibri" w:hAnsi="Calibri" w:cs="Calibri"/>
          <w:color w:val="C00000"/>
          <w:sz w:val="22"/>
          <w:szCs w:val="22"/>
        </w:rPr>
        <w:t xml:space="preserve"> UEDVT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的症狀通常比遠端嚴重</w:t>
      </w:r>
    </w:p>
    <w:p w:rsidR="00835C24" w:rsidRDefault="00835C2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急性血栓</w:t>
      </w:r>
    </w:p>
    <w:p w:rsidR="00835C24" w:rsidRDefault="00835C24">
      <w:pPr>
        <w:numPr>
          <w:ilvl w:val="3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患肢變色、腫脹、疼痛</w:t>
      </w:r>
    </w:p>
    <w:p w:rsidR="00835C24" w:rsidRDefault="00835C24">
      <w:pPr>
        <w:numPr>
          <w:ilvl w:val="3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表淺靜脈擴張</w:t>
      </w:r>
    </w:p>
    <w:p w:rsidR="00835C24" w:rsidRDefault="00835C2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慢性血栓</w:t>
      </w:r>
    </w:p>
    <w:p w:rsidR="00835C24" w:rsidRDefault="00835C24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通常無症狀</w:t>
      </w:r>
      <w:r>
        <w:rPr>
          <w:rFonts w:ascii="微軟正黑體" w:eastAsia="微軟正黑體" w:hAnsi="微軟正黑體" w:cs="Calibri" w:hint="eastAsia"/>
          <w:sz w:val="22"/>
          <w:szCs w:val="22"/>
        </w:rPr>
        <w:t>，直到完全阻塞為止</w:t>
      </w:r>
    </w:p>
    <w:p w:rsidR="00835C24" w:rsidRDefault="00835C24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即使完全阻塞，也可能僅有非特異性或輕微症狀，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因側支循環可部分代償</w:t>
      </w:r>
    </w:p>
    <w:p w:rsidR="00835C24" w:rsidRDefault="00835C24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治療與處置</w:t>
      </w:r>
    </w:p>
    <w:p w:rsidR="00835C24" w:rsidRDefault="00835C2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初步評估</w:t>
      </w:r>
    </w:p>
    <w:p w:rsidR="00835C24" w:rsidRDefault="00835C24">
      <w:pPr>
        <w:numPr>
          <w:ilvl w:val="3"/>
          <w:numId w:val="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Constans score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：估計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 xml:space="preserve"> UEDVT 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的機率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465"/>
        <w:gridCol w:w="1621"/>
      </w:tblGrid>
      <w:tr w:rsidR="00000000">
        <w:trPr>
          <w:divId w:val="182136903"/>
        </w:trPr>
        <w:tc>
          <w:tcPr>
            <w:tcW w:w="5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5C24" w:rsidRDefault="00835C24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Symptoms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6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5C24" w:rsidRDefault="00835C24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分數（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Points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182136903"/>
        </w:trPr>
        <w:tc>
          <w:tcPr>
            <w:tcW w:w="58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5C24" w:rsidRDefault="00835C24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靜脈內裝置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（鎖骨下靜脈、頸靜脈或有心律調節器處）</w:t>
            </w:r>
          </w:p>
        </w:tc>
        <w:tc>
          <w:tcPr>
            <w:tcW w:w="1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5C24" w:rsidRDefault="00835C24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+1</w:t>
            </w:r>
          </w:p>
        </w:tc>
      </w:tr>
      <w:tr w:rsidR="00000000">
        <w:trPr>
          <w:divId w:val="182136903"/>
        </w:trPr>
        <w:tc>
          <w:tcPr>
            <w:tcW w:w="5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5C24" w:rsidRDefault="00835C24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局部疼痛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Localised pain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5C24" w:rsidRDefault="00835C24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+1</w:t>
            </w:r>
          </w:p>
        </w:tc>
      </w:tr>
      <w:tr w:rsidR="00000000">
        <w:trPr>
          <w:divId w:val="182136903"/>
        </w:trPr>
        <w:tc>
          <w:tcPr>
            <w:tcW w:w="5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5C24" w:rsidRDefault="00835C24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單側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凹陷型水腫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Unilateral pitting oedema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5C24" w:rsidRDefault="00835C24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+1</w:t>
            </w:r>
          </w:p>
        </w:tc>
      </w:tr>
      <w:tr w:rsidR="00000000">
        <w:trPr>
          <w:divId w:val="182136903"/>
        </w:trPr>
        <w:tc>
          <w:tcPr>
            <w:tcW w:w="5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5C24" w:rsidRDefault="00835C24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有其他合理診斷（</w:t>
            </w:r>
            <w:r>
              <w:rPr>
                <w:rFonts w:ascii="Calibri" w:hAnsi="Calibri" w:cs="Calibri"/>
                <w:sz w:val="22"/>
                <w:szCs w:val="22"/>
              </w:rPr>
              <w:t>Other diagnosis at least as plausible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5C24" w:rsidRDefault="00835C24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-1</w:t>
            </w:r>
          </w:p>
        </w:tc>
      </w:tr>
    </w:tbl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22"/>
        <w:gridCol w:w="3064"/>
      </w:tblGrid>
      <w:tr w:rsidR="00000000">
        <w:tc>
          <w:tcPr>
            <w:tcW w:w="22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5C24" w:rsidRDefault="00835C24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總分（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Total Score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9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5C24" w:rsidRDefault="00835C24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風險程度（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Risk level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c>
          <w:tcPr>
            <w:tcW w:w="21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5C24" w:rsidRDefault="00835C24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≤ 0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E2EFD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5C24" w:rsidRDefault="00835C24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低風險（</w:t>
            </w:r>
            <w:r>
              <w:rPr>
                <w:rFonts w:ascii="Calibri" w:hAnsi="Calibri" w:cs="Calibri"/>
                <w:sz w:val="22"/>
                <w:szCs w:val="22"/>
              </w:rPr>
              <w:t>Low risk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c>
          <w:tcPr>
            <w:tcW w:w="21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5C24" w:rsidRDefault="00835C24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= 1</w:t>
            </w:r>
          </w:p>
        </w:tc>
        <w:tc>
          <w:tcPr>
            <w:tcW w:w="3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5C24" w:rsidRDefault="00835C24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中等風險（</w:t>
            </w:r>
            <w:r>
              <w:rPr>
                <w:rFonts w:ascii="Calibri" w:hAnsi="Calibri" w:cs="Calibri"/>
                <w:sz w:val="22"/>
                <w:szCs w:val="22"/>
              </w:rPr>
              <w:t>Intermediate risk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c>
          <w:tcPr>
            <w:tcW w:w="21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5C24" w:rsidRDefault="00835C24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≥ 2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ADBD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35C24" w:rsidRDefault="00835C24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高風險（</w:t>
            </w:r>
            <w:r>
              <w:rPr>
                <w:rFonts w:ascii="Calibri" w:hAnsi="Calibri" w:cs="Calibri"/>
                <w:sz w:val="22"/>
                <w:szCs w:val="22"/>
              </w:rPr>
              <w:t>High risk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835C24" w:rsidRDefault="00835C24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mbria Math" w:hAnsi="Cambria Math" w:cs="Calibri"/>
          <w:b/>
          <w:bCs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2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分：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直接做超音波或測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D-dimer</w:t>
      </w:r>
    </w:p>
    <w:p w:rsidR="00835C24" w:rsidRDefault="00835C24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&lt; 2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分：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測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D-dimer</w:t>
      </w:r>
    </w:p>
    <w:p w:rsidR="00835C24" w:rsidRDefault="00835C24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D-dimer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陰性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排除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UEDVT</w:t>
      </w:r>
    </w:p>
    <w:p w:rsidR="00835C24" w:rsidRDefault="00835C24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D-dimer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陽性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超音波</w:t>
      </w:r>
    </w:p>
    <w:p w:rsidR="00835C24" w:rsidRDefault="00835C24">
      <w:pPr>
        <w:numPr>
          <w:ilvl w:val="1"/>
          <w:numId w:val="7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進一步評估</w:t>
      </w:r>
    </w:p>
    <w:p w:rsidR="00835C24" w:rsidRDefault="00835C24">
      <w:pPr>
        <w:numPr>
          <w:ilvl w:val="2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若初步超音波為陰性但臨床仍高度懷疑</w:t>
      </w:r>
    </w:p>
    <w:p w:rsidR="00835C24" w:rsidRDefault="00835C24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考慮重複超音波</w:t>
      </w:r>
    </w:p>
    <w:p w:rsidR="00835C24" w:rsidRDefault="00835C24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CT/MR </w:t>
      </w:r>
      <w:r>
        <w:rPr>
          <w:rFonts w:ascii="微軟正黑體" w:eastAsia="微軟正黑體" w:hAnsi="微軟正黑體" w:cs="Calibri" w:hint="eastAsia"/>
          <w:sz w:val="22"/>
          <w:szCs w:val="22"/>
        </w:rPr>
        <w:t>靜脈攝影</w:t>
      </w:r>
    </w:p>
    <w:p w:rsidR="00835C24" w:rsidRDefault="00835C24">
      <w:pPr>
        <w:numPr>
          <w:ilvl w:val="2"/>
          <w:numId w:val="8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2E75B5"/>
          <w:sz w:val="22"/>
          <w:szCs w:val="22"/>
        </w:rPr>
        <w:t>懷疑原發性：</w:t>
      </w:r>
      <w:r>
        <w:rPr>
          <w:rFonts w:ascii="微軟正黑體" w:eastAsia="微軟正黑體" w:hAnsi="微軟正黑體" w:cs="Calibri" w:hint="eastAsia"/>
          <w:b/>
          <w:bCs/>
          <w:color w:val="2E75B5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X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光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檢查是否有骨骼異常</w:t>
      </w:r>
    </w:p>
    <w:p w:rsidR="00835C24" w:rsidRDefault="00835C24">
      <w:pPr>
        <w:numPr>
          <w:ilvl w:val="2"/>
          <w:numId w:val="8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2E75B5"/>
          <w:sz w:val="22"/>
          <w:szCs w:val="22"/>
        </w:rPr>
        <w:t>懷疑續發性：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考慮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癌症篩檢、抽血檢查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是否有遺傳性血栓性疾病</w:t>
      </w:r>
    </w:p>
    <w:p w:rsidR="00835C24" w:rsidRDefault="00835C24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</w:p>
    <w:p w:rsidR="00835C24" w:rsidRDefault="00835C2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原則</w:t>
      </w:r>
    </w:p>
    <w:p w:rsidR="00835C24" w:rsidRDefault="00835C24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近端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UEDVT</w:t>
      </w:r>
    </w:p>
    <w:p w:rsidR="00835C24" w:rsidRDefault="00835C24">
      <w:pPr>
        <w:numPr>
          <w:ilvl w:val="4"/>
          <w:numId w:val="10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1E4E79"/>
          <w:sz w:val="22"/>
          <w:szCs w:val="22"/>
        </w:rPr>
        <w:t>一線：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抗凝血治療</w:t>
      </w:r>
    </w:p>
    <w:p w:rsidR="00835C24" w:rsidRDefault="00835C24">
      <w:pPr>
        <w:numPr>
          <w:ilvl w:val="4"/>
          <w:numId w:val="10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1E4E79"/>
          <w:sz w:val="22"/>
          <w:szCs w:val="22"/>
        </w:rPr>
        <w:t>二線：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若症狀嚴重或威脅到肢體，且沒有溶栓禁忌症</w:t>
      </w:r>
      <w:r>
        <w:rPr>
          <w:rFonts w:ascii="微軟正黑體" w:eastAsia="微軟正黑體" w:hAnsi="微軟正黑體" w:cs="Calibri" w:hint="eastAsia"/>
          <w:b/>
          <w:bCs/>
          <w:color w:val="1E4E79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1E4E79"/>
          <w:sz w:val="32"/>
          <w:szCs w:val="3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1E4E79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導管導向溶栓術（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CDT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835C24" w:rsidRDefault="00835C24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遠端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UEDVT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</w:t>
      </w:r>
    </w:p>
    <w:p w:rsidR="00835C24" w:rsidRDefault="00835C24">
      <w:pPr>
        <w:numPr>
          <w:ilvl w:val="4"/>
          <w:numId w:val="1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1E4E79"/>
          <w:sz w:val="22"/>
          <w:szCs w:val="22"/>
        </w:rPr>
        <w:t>有症狀：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抗凝血治療</w:t>
      </w:r>
    </w:p>
    <w:p w:rsidR="00835C24" w:rsidRDefault="00835C24">
      <w:pPr>
        <w:numPr>
          <w:ilvl w:val="4"/>
          <w:numId w:val="1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1E4E79"/>
          <w:sz w:val="22"/>
          <w:szCs w:val="22"/>
        </w:rPr>
        <w:t>無症狀：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觀察，定期追蹤超音波</w:t>
      </w:r>
    </w:p>
    <w:p w:rsidR="00835C24" w:rsidRDefault="00835C2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抗凝血治療</w:t>
      </w:r>
    </w:p>
    <w:p w:rsidR="00835C24" w:rsidRDefault="00835C24">
      <w:pPr>
        <w:numPr>
          <w:ilvl w:val="3"/>
          <w:numId w:val="12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1E4E79"/>
          <w:sz w:val="22"/>
          <w:szCs w:val="22"/>
        </w:rPr>
        <w:t>初始治療：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UFH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或低分子量肝素（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LMWH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835C24" w:rsidRDefault="00835C24">
      <w:pPr>
        <w:numPr>
          <w:ilvl w:val="3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長期治療</w:t>
      </w:r>
    </w:p>
    <w:p w:rsidR="00835C24" w:rsidRDefault="00835C24">
      <w:pPr>
        <w:numPr>
          <w:ilvl w:val="4"/>
          <w:numId w:val="1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持續至少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3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個月</w:t>
      </w:r>
    </w:p>
    <w:p w:rsidR="00835C24" w:rsidRDefault="00835C24">
      <w:pPr>
        <w:numPr>
          <w:ilvl w:val="4"/>
          <w:numId w:val="14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1E4E79"/>
          <w:sz w:val="22"/>
          <w:szCs w:val="22"/>
        </w:rPr>
        <w:t>藥物：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LMWH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Warfarin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、或直接口服抗凝劑（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DOACs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835C24" w:rsidRDefault="00835C2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進一步處理潛在病因</w:t>
      </w:r>
    </w:p>
    <w:p w:rsidR="00835C24" w:rsidRDefault="00835C24">
      <w:pPr>
        <w:numPr>
          <w:ilvl w:val="3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原發性：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若抗凝與溶栓後仍有症狀，考慮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胸廓出口減壓</w:t>
      </w:r>
    </w:p>
    <w:p w:rsidR="00835C24" w:rsidRDefault="00835C24">
      <w:pPr>
        <w:numPr>
          <w:ilvl w:val="4"/>
          <w:numId w:val="16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切除前、中斜角肌或第一肋骨</w:t>
      </w:r>
    </w:p>
    <w:p w:rsidR="00835C24" w:rsidRDefault="00835C24">
      <w:pPr>
        <w:numPr>
          <w:ilvl w:val="4"/>
          <w:numId w:val="16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術後建議抗凝治療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6-12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個月</w:t>
      </w:r>
    </w:p>
    <w:p w:rsidR="00835C24" w:rsidRDefault="00835C24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續發性：</w:t>
      </w:r>
      <w:r>
        <w:rPr>
          <w:rFonts w:ascii="微軟正黑體" w:eastAsia="微軟正黑體" w:hAnsi="微軟正黑體" w:cs="Calibri" w:hint="eastAsia"/>
          <w:sz w:val="22"/>
          <w:szCs w:val="22"/>
        </w:rPr>
        <w:t>以下情況應考慮移除靜脈裝置</w:t>
      </w:r>
    </w:p>
    <w:p w:rsidR="00835C24" w:rsidRDefault="00835C24">
      <w:pPr>
        <w:numPr>
          <w:ilvl w:val="4"/>
          <w:numId w:val="17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血栓症狀持續</w:t>
      </w:r>
    </w:p>
    <w:p w:rsidR="00835C24" w:rsidRDefault="00835C24">
      <w:pPr>
        <w:numPr>
          <w:ilvl w:val="4"/>
          <w:numId w:val="17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有症狀且無法接受抗凝血治療</w:t>
      </w:r>
    </w:p>
    <w:p w:rsidR="00835C24" w:rsidRDefault="00835C24">
      <w:pPr>
        <w:numPr>
          <w:ilvl w:val="4"/>
          <w:numId w:val="17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有導管相關感染</w:t>
      </w:r>
    </w:p>
    <w:p w:rsidR="00835C24" w:rsidRDefault="00835C24">
      <w:pPr>
        <w:numPr>
          <w:ilvl w:val="4"/>
          <w:numId w:val="17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器械已無使用需要</w:t>
      </w:r>
    </w:p>
    <w:p w:rsidR="00835C24" w:rsidRDefault="00835C24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併發症</w:t>
      </w:r>
    </w:p>
    <w:p w:rsidR="00835C24" w:rsidRDefault="00835C2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肺栓塞（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pulmonary embolism, PE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835C24" w:rsidRDefault="00835C24">
      <w:pPr>
        <w:numPr>
          <w:ilvl w:val="3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三分之一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</w:t>
      </w:r>
      <w:r>
        <w:rPr>
          <w:rFonts w:ascii="Calibri" w:hAnsi="Calibri" w:cs="Calibri"/>
          <w:color w:val="000000"/>
          <w:sz w:val="22"/>
          <w:szCs w:val="22"/>
        </w:rPr>
        <w:t>UEDVT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患者會發生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</w:t>
      </w:r>
    </w:p>
    <w:p w:rsidR="00835C24" w:rsidRDefault="00835C2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上腔靜脈症候群</w:t>
      </w:r>
    </w:p>
    <w:p w:rsidR="00835C24" w:rsidRDefault="00835C2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血栓後症候群（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PTS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835C24" w:rsidRDefault="00835C24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約</w:t>
      </w:r>
      <w:r>
        <w:rPr>
          <w:rFonts w:ascii="Calibri" w:hAnsi="Calibri" w:cs="Calibri"/>
          <w:color w:val="C00000"/>
          <w:sz w:val="22"/>
          <w:szCs w:val="22"/>
        </w:rPr>
        <w:t>20%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至</w:t>
      </w:r>
      <w:r>
        <w:rPr>
          <w:rFonts w:ascii="Calibri" w:hAnsi="Calibri" w:cs="Calibri"/>
          <w:color w:val="C00000"/>
          <w:sz w:val="22"/>
          <w:szCs w:val="22"/>
        </w:rPr>
        <w:t>50%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</w:t>
      </w:r>
      <w:r>
        <w:rPr>
          <w:rFonts w:ascii="Calibri" w:hAnsi="Calibri" w:cs="Calibri"/>
          <w:color w:val="000000"/>
          <w:sz w:val="22"/>
          <w:szCs w:val="22"/>
        </w:rPr>
        <w:t>DVT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患者會發生</w:t>
      </w:r>
    </w:p>
    <w:p w:rsidR="00835C24" w:rsidRDefault="00835C2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復發性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UEDVT </w:t>
      </w:r>
    </w:p>
    <w:p w:rsidR="00835C24" w:rsidRDefault="00835C24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靜脈壞疽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極嚴重但罕見</w:t>
      </w:r>
    </w:p>
    <w:p w:rsidR="00835C24" w:rsidRDefault="00835C24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Calibri" w:hAnsi="Calibri" w:cs="Calibri"/>
          <w:color w:val="1E4E79"/>
          <w:sz w:val="32"/>
          <w:szCs w:val="32"/>
        </w:rPr>
        <w:t>Reference</w:t>
      </w:r>
    </w:p>
    <w:p w:rsidR="00835C24" w:rsidRDefault="00835C24">
      <w:pPr>
        <w:numPr>
          <w:ilvl w:val="1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835C24" w:rsidRDefault="00835C24">
      <w:pPr>
        <w:numPr>
          <w:ilvl w:val="1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835C24" w:rsidRDefault="00835C24">
      <w:pPr>
        <w:numPr>
          <w:ilvl w:val="1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Upper Extremity Deep Vein Thrombosis</w:t>
      </w:r>
      <w:r>
        <w:rPr>
          <w:rFonts w:ascii="Calibri" w:hAnsi="Calibri" w:cs="Calibri"/>
          <w:sz w:val="22"/>
          <w:szCs w:val="22"/>
          <w:lang w:val="en-GB"/>
        </w:rPr>
        <w:t>, AMBOSS</w:t>
      </w:r>
    </w:p>
    <w:p w:rsidR="00835C24" w:rsidRDefault="00835C24">
      <w:pPr>
        <w:numPr>
          <w:ilvl w:val="1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Constans Score, Physiopedia</w:t>
      </w:r>
      <w:r>
        <w:rPr>
          <w:rFonts w:ascii="Calibri" w:hAnsi="Calibri" w:cs="Calibri"/>
          <w:sz w:val="22"/>
          <w:szCs w:val="22"/>
        </w:rPr>
        <w:br/>
      </w:r>
      <w:hyperlink r:id="rId7" w:history="1">
        <w:r>
          <w:rPr>
            <w:rStyle w:val="a3"/>
            <w:rFonts w:ascii="Calibri" w:hAnsi="Calibri" w:cs="Calibri"/>
            <w:sz w:val="22"/>
            <w:szCs w:val="22"/>
          </w:rPr>
          <w:t>https://www.physio-pedia.com/Constans_Score</w:t>
        </w:r>
      </w:hyperlink>
    </w:p>
    <w:p w:rsidR="00835C24" w:rsidRDefault="00835C24">
      <w:pPr>
        <w:pStyle w:val="Web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35C24" w:rsidRDefault="00835C24">
      <w:pPr>
        <w:pStyle w:val="Web"/>
        <w:spacing w:before="0" w:beforeAutospacing="0" w:after="0" w:afterAutospacing="0"/>
        <w:ind w:left="720"/>
        <w:rPr>
          <w:rFonts w:ascii="Calibri" w:hAnsi="Calibri" w:cs="Calibri" w:hint="eastAsia"/>
          <w:color w:val="ED7D31"/>
          <w:sz w:val="22"/>
          <w:szCs w:val="22"/>
        </w:rPr>
      </w:pPr>
      <w:r>
        <w:rPr>
          <w:rFonts w:ascii="Calibri" w:hAnsi="Calibri" w:cs="Calibri"/>
          <w:color w:val="ED7D31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35C24" w:rsidRDefault="00835C24" w:rsidP="00835C24">
      <w:r>
        <w:separator/>
      </w:r>
    </w:p>
  </w:endnote>
  <w:endnote w:type="continuationSeparator" w:id="0">
    <w:p w:rsidR="00835C24" w:rsidRDefault="00835C24" w:rsidP="00835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35C24" w:rsidRDefault="00835C24" w:rsidP="00835C24">
      <w:r>
        <w:separator/>
      </w:r>
    </w:p>
  </w:footnote>
  <w:footnote w:type="continuationSeparator" w:id="0">
    <w:p w:rsidR="00835C24" w:rsidRDefault="00835C24" w:rsidP="00835C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421C5"/>
    <w:multiLevelType w:val="multilevel"/>
    <w:tmpl w:val="A9A4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903022">
    <w:abstractNumId w:val="0"/>
  </w:num>
  <w:num w:numId="2" w16cid:durableId="1743797481">
    <w:abstractNumId w:val="0"/>
    <w:lvlOverride w:ilvl="5">
      <w:lvl w:ilvl="5">
        <w:numFmt w:val="bullet"/>
        <w:lvlText w:val="o"/>
        <w:lvlJc w:val="left"/>
        <w:pPr>
          <w:tabs>
            <w:tab w:val="num" w:pos="4320"/>
          </w:tabs>
          <w:ind w:left="4320" w:hanging="360"/>
        </w:pPr>
        <w:rPr>
          <w:rFonts w:ascii="Courier New" w:hAnsi="Courier New" w:hint="default"/>
          <w:sz w:val="20"/>
        </w:rPr>
      </w:lvl>
    </w:lvlOverride>
  </w:num>
  <w:num w:numId="3" w16cid:durableId="1717658694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" w16cid:durableId="1038701444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" w16cid:durableId="1879078563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" w16cid:durableId="282538695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" w16cid:durableId="147968823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90525978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284579897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0" w16cid:durableId="104545676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1" w16cid:durableId="553929298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2" w16cid:durableId="102968821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3" w16cid:durableId="2129469446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4" w16cid:durableId="1183474908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5" w16cid:durableId="2078239760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6" w16cid:durableId="496270269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7" w16cid:durableId="463233788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8" w16cid:durableId="1804543811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9" w16cid:durableId="1144616865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0" w16cid:durableId="1596480490">
    <w:abstractNumId w:val="0"/>
    <w:lvlOverride w:ilvl="1">
      <w:lvl w:ilvl="1">
        <w:numFmt w:val="decimal"/>
        <w:lvlText w:val="%2."/>
        <w:lvlJc w:val="left"/>
      </w:lvl>
    </w:lvlOverride>
  </w:num>
  <w:num w:numId="21" w16cid:durableId="1717043554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C24"/>
    <w:rsid w:val="003F139B"/>
    <w:rsid w:val="00835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297F565-C550-4A67-BAE9-791F59DF4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835C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35C24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835C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35C2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136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hysio-pedia.com/Constans_Sco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2025-07-27T07:46:00Z</dcterms:created>
  <dcterms:modified xsi:type="dcterms:W3CDTF">2025-07-27T07:46:00Z</dcterms:modified>
</cp:coreProperties>
</file>