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5AD1" w:rsidRDefault="00465AD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人造瓣膜的選擇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(Prosthetic valve) </w:t>
      </w:r>
    </w:p>
    <w:p w:rsidR="00465AD1" w:rsidRDefault="00465AD1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465AD1" w:rsidRDefault="00465AD1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11:59</w:t>
      </w:r>
    </w:p>
    <w:p w:rsidR="00465AD1" w:rsidRDefault="00465AD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65AD1" w:rsidRDefault="00465AD1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機械瓣與生物瓣比較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60"/>
        <w:gridCol w:w="2224"/>
        <w:gridCol w:w="3482"/>
      </w:tblGrid>
      <w:tr w:rsidR="00000000">
        <w:trPr>
          <w:divId w:val="1965967240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機械瓣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生物瓣</w:t>
            </w:r>
          </w:p>
        </w:tc>
      </w:tr>
      <w:tr w:rsidR="00000000">
        <w:trPr>
          <w:divId w:val="1965967240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材質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碳化鈦等人工材料</w:t>
            </w:r>
          </w:p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豬或牛的心包膜</w:t>
            </w:r>
          </w:p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 </w:t>
            </w:r>
          </w:p>
        </w:tc>
      </w:tr>
      <w:tr w:rsidR="00000000">
        <w:trPr>
          <w:divId w:val="1965967240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瓣膜耐久性（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Valve Durability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）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較長</w:t>
            </w:r>
          </w:p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C00000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  <w:lang w:val="en-GB"/>
              </w:rPr>
              <w:t>20-30</w:t>
            </w:r>
            <w:r>
              <w:rPr>
                <w:rFonts w:ascii="Calibri" w:hAnsi="Calibri" w:cs="Calibri"/>
                <w:color w:val="C00000"/>
                <w:sz w:val="22"/>
                <w:szCs w:val="22"/>
                <w:lang w:val="en-GB"/>
              </w:rPr>
              <w:t>年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較短</w:t>
            </w:r>
          </w:p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  <w:lang w:val="en-GB"/>
              </w:rPr>
              <w:t>10-15</w:t>
            </w:r>
            <w:r>
              <w:rPr>
                <w:rFonts w:ascii="Calibri" w:hAnsi="Calibri" w:cs="Calibri"/>
                <w:b/>
                <w:bCs/>
                <w:color w:val="F79646"/>
                <w:sz w:val="22"/>
                <w:szCs w:val="22"/>
                <w:lang w:val="en-GB"/>
              </w:rPr>
              <w:t>年</w:t>
            </w:r>
          </w:p>
        </w:tc>
      </w:tr>
      <w:tr w:rsidR="00000000">
        <w:trPr>
          <w:divId w:val="1965967240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預期壽命和年齡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主動脈瓣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 xml:space="preserve">&lt;50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歲</w:t>
            </w:r>
          </w:p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  <w:lang w:val="en-GB"/>
              </w:rPr>
              <w:t>二尖瓣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&lt;65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歲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&gt;65</w:t>
            </w:r>
            <w:r>
              <w:rPr>
                <w:rFonts w:ascii="Calibri" w:hAnsi="Calibri" w:cs="Calibri"/>
                <w:sz w:val="22"/>
                <w:szCs w:val="22"/>
                <w:lang w:val="en-GB"/>
              </w:rPr>
              <w:t>歲</w:t>
            </w:r>
          </w:p>
        </w:tc>
      </w:tr>
      <w:tr w:rsidR="00000000">
        <w:trPr>
          <w:divId w:val="1965967240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抗凝血治療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終生使用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 xml:space="preserve"> Warfarin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(Vitamin K Antagonist, VKA)</w:t>
            </w:r>
          </w:p>
        </w:tc>
        <w:tc>
          <w:tcPr>
            <w:tcW w:w="5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術後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3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個月</w:t>
            </w: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Warfarin/DOAC</w:t>
            </w:r>
          </w:p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若沒有其他適應症（如心房顫動），僅需低劑量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 xml:space="preserve"> Aspirin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，若有則可用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Warfarin/DOAC</w:t>
            </w:r>
          </w:p>
        </w:tc>
      </w:tr>
      <w:tr w:rsidR="00000000">
        <w:trPr>
          <w:divId w:val="1965967240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再介入治療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較低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較高</w:t>
            </w:r>
          </w:p>
        </w:tc>
      </w:tr>
      <w:tr w:rsidR="00000000">
        <w:trPr>
          <w:divId w:val="1965967240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有懷孕考量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不建議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建議使用</w:t>
            </w:r>
          </w:p>
        </w:tc>
      </w:tr>
      <w:tr w:rsidR="00000000">
        <w:trPr>
          <w:divId w:val="1965967240"/>
        </w:trPr>
        <w:tc>
          <w:tcPr>
            <w:tcW w:w="2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  <w:lang w:val="en-GB"/>
              </w:rPr>
              <w:t>其他合併症</w:t>
            </w:r>
          </w:p>
        </w:tc>
        <w:tc>
          <w:tcPr>
            <w:tcW w:w="32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  <w:lang w:val="en-GB"/>
              </w:rPr>
              <w:t>曾接受胸部放射治療</w:t>
            </w:r>
          </w:p>
        </w:tc>
        <w:tc>
          <w:tcPr>
            <w:tcW w:w="5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F79646"/>
                <w:sz w:val="22"/>
                <w:szCs w:val="22"/>
                <w:lang w:val="en-GB"/>
              </w:rPr>
              <w:t>高出血風險</w:t>
            </w:r>
          </w:p>
        </w:tc>
      </w:tr>
    </w:tbl>
    <w:p w:rsidR="00465AD1" w:rsidRDefault="00465AD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 xml:space="preserve">50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至</w:t>
      </w:r>
      <w:r>
        <w:rPr>
          <w:rFonts w:ascii="Calibri" w:hAnsi="Calibri" w:cs="Calibri"/>
          <w:sz w:val="22"/>
          <w:szCs w:val="22"/>
          <w:lang w:val="en-GB"/>
        </w:rPr>
        <w:t xml:space="preserve"> 65 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歲的患者：根據病患偏好、瓣膜耐久性、再介入的可能性、抗凝出血和血栓栓塞風險、合併症來選擇用機械或生物瓣膜</w:t>
      </w:r>
    </w:p>
    <w:p w:rsidR="00465AD1" w:rsidRDefault="00465AD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p w:rsidR="00465AD1" w:rsidRDefault="00465AD1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術後抗凝血治療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05"/>
        <w:gridCol w:w="2460"/>
        <w:gridCol w:w="862"/>
        <w:gridCol w:w="1739"/>
      </w:tblGrid>
      <w:tr w:rsidR="00000000">
        <w:trPr>
          <w:divId w:val="981424612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瓣膜種類與狀況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抗血栓藥物</w:t>
            </w:r>
          </w:p>
        </w:tc>
        <w:tc>
          <w:tcPr>
            <w:tcW w:w="1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INR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目標</w:t>
            </w:r>
          </w:p>
        </w:tc>
        <w:tc>
          <w:tcPr>
            <w:tcW w:w="2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治療時間</w:t>
            </w:r>
          </w:p>
        </w:tc>
      </w:tr>
      <w:tr w:rsidR="00000000">
        <w:trPr>
          <w:divId w:val="981424612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主動脈機械瓣</w:t>
            </w:r>
          </w:p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79646"/>
                <w:sz w:val="22"/>
                <w:szCs w:val="22"/>
              </w:rPr>
              <w:t>（無栓塞風險因子）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Warfarin</w:t>
            </w:r>
            <w:r>
              <w:rPr>
                <w:rFonts w:ascii="Calibri" w:hAnsi="Calibri" w:cs="Calibri"/>
                <w:sz w:val="22"/>
                <w:szCs w:val="22"/>
              </w:rPr>
              <w:br/>
            </w:r>
            <w:r>
              <w:rPr>
                <w:rFonts w:ascii="Calibri" w:hAnsi="Calibri" w:cs="Calibri"/>
                <w:sz w:val="22"/>
                <w:szCs w:val="22"/>
              </w:rPr>
              <w:t>低出血風險可加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Aspirin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2.0-3.0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</w:p>
        </w:tc>
      </w:tr>
      <w:tr w:rsidR="00000000">
        <w:trPr>
          <w:divId w:val="981424612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主動脈機械瓣</w:t>
            </w:r>
          </w:p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（有栓塞風險因子或舊型瓣膜）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Warfarin + Aspirin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2.5-3.5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</w:p>
        </w:tc>
      </w:tr>
      <w:tr w:rsidR="00000000">
        <w:trPr>
          <w:divId w:val="981424612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二尖瓣機械瓣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8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Warfarin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2.5-3.5</w:t>
            </w:r>
          </w:p>
        </w:tc>
        <w:tc>
          <w:tcPr>
            <w:tcW w:w="20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</w:p>
        </w:tc>
      </w:tr>
      <w:tr w:rsidR="00000000">
        <w:trPr>
          <w:divId w:val="981424612"/>
        </w:trPr>
        <w:tc>
          <w:tcPr>
            <w:tcW w:w="3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生物瓣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，低出血風險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術後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個月：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warfarin/DOAC</w:t>
            </w:r>
          </w:p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長期：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low-dose Asparin</w:t>
            </w:r>
          </w:p>
        </w:tc>
        <w:tc>
          <w:tcPr>
            <w:tcW w:w="1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2.0-3.0</w:t>
            </w:r>
          </w:p>
        </w:tc>
        <w:tc>
          <w:tcPr>
            <w:tcW w:w="20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65AD1" w:rsidRDefault="00465AD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終身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Aspirin</w:t>
            </w:r>
          </w:p>
        </w:tc>
      </w:tr>
    </w:tbl>
    <w:p w:rsidR="00465AD1" w:rsidRDefault="00465AD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Warfarin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的中風、出血風險較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Dabigatran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低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465AD1" w:rsidRDefault="00465AD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Direct oral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anticoagulant, DOACs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不建議使用在機械瓣膜的病人中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，因安全性與療效尚未被實證支持</w:t>
      </w:r>
    </w:p>
    <w:p w:rsidR="00465AD1" w:rsidRDefault="00465AD1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5AD1" w:rsidRDefault="00465AD1" w:rsidP="00465AD1">
      <w:r>
        <w:separator/>
      </w:r>
    </w:p>
  </w:endnote>
  <w:endnote w:type="continuationSeparator" w:id="0">
    <w:p w:rsidR="00465AD1" w:rsidRDefault="00465AD1" w:rsidP="00465A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5AD1" w:rsidRDefault="00465AD1" w:rsidP="00465AD1">
      <w:r>
        <w:separator/>
      </w:r>
    </w:p>
  </w:footnote>
  <w:footnote w:type="continuationSeparator" w:id="0">
    <w:p w:rsidR="00465AD1" w:rsidRDefault="00465AD1" w:rsidP="00465A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96BAC"/>
    <w:multiLevelType w:val="multilevel"/>
    <w:tmpl w:val="22D6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69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AD1"/>
    <w:rsid w:val="00465AD1"/>
    <w:rsid w:val="004C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943F24-8657-43E4-8514-908229A8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65A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5AD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65AD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5AD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424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7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2025-07-27T07:45:00Z</dcterms:created>
  <dcterms:modified xsi:type="dcterms:W3CDTF">2025-07-27T07:45:00Z</dcterms:modified>
</cp:coreProperties>
</file>