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68BF" w:rsidRDefault="00E168B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動脈幹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Persistent Truncus Arteriosus</w:t>
      </w:r>
    </w:p>
    <w:p w:rsidR="00E168BF" w:rsidRDefault="00E168B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E168BF" w:rsidRDefault="00E168B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16:31</w:t>
      </w:r>
    </w:p>
    <w:p w:rsidR="00E168BF" w:rsidRDefault="00E168B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168BF" w:rsidRDefault="00E168B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主動脈及肺動脈之間的中隔（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aorticopulmonary septum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）發育不全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共同動脈幹（</w:t>
      </w:r>
      <w:r>
        <w:rPr>
          <w:rFonts w:ascii="Calibri" w:hAnsi="Calibri" w:cs="Calibri"/>
          <w:sz w:val="22"/>
          <w:szCs w:val="22"/>
          <w:lang w:val="en-GB"/>
        </w:rPr>
        <w:t>truncus arteriosus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）未能成功分化主動脈與肺動脈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形成一條來自左右心室共同輸出的單一動脈幹</w:t>
      </w:r>
    </w:p>
    <w:p w:rsidR="00E168BF" w:rsidRDefault="00E168B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E168BF" w:rsidRDefault="00E168B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心臟發育時，因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神經嵴細胞（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neural crest cells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）未正常遷移，沒有正常發育成正常的主動脈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肺動脈隔間（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incomplete AP septum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DiGeorge syndrome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相關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胸線發育不全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常合併其他心臟缺陷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心室中膈缺損（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主動脈弓中斷（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Interrupted aortic arch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冠狀動脈異常（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Coronary artery anomalies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病生理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缺氧與含氧血經由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混合，單一動脈幹（</w:t>
      </w:r>
      <w:r>
        <w:rPr>
          <w:rFonts w:ascii="Calibri" w:hAnsi="Calibri" w:cs="Calibri"/>
          <w:sz w:val="22"/>
          <w:szCs w:val="22"/>
          <w:lang w:val="en-GB"/>
        </w:rPr>
        <w:t>truncus arteriosus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）接受來自左右心室輸出的血液，混合血同時流入肺循環與體循環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疾病嚴重程度取決於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肺靜脈壓力（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Pulmonary Venous Resistance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E168BF" w:rsidRDefault="00E168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會造成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肺部充血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E168BF" w:rsidRDefault="00E168B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發紺（</w:t>
      </w:r>
      <w:r>
        <w:rPr>
          <w:rFonts w:ascii="Calibri" w:hAnsi="Calibri" w:cs="Calibri"/>
          <w:sz w:val="22"/>
          <w:szCs w:val="22"/>
          <w:lang w:val="en-GB"/>
        </w:rPr>
        <w:t>cyanosis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喘、呼吸窘迫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生長遲緩（</w:t>
      </w:r>
      <w:r>
        <w:rPr>
          <w:rFonts w:ascii="Calibri" w:hAnsi="Calibri" w:cs="Calibri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心音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強烈周邊動脈搏（</w:t>
      </w:r>
      <w:r>
        <w:rPr>
          <w:rFonts w:ascii="Calibri" w:hAnsi="Calibri" w:cs="Calibri"/>
          <w:sz w:val="22"/>
          <w:szCs w:val="22"/>
          <w:lang w:val="en-GB"/>
        </w:rPr>
        <w:t>bounding peripheral pulses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左下胸骨緣可聽到粗糙（</w:t>
      </w:r>
      <w:r>
        <w:rPr>
          <w:rFonts w:ascii="Calibri" w:hAnsi="Calibri" w:cs="Calibri"/>
          <w:sz w:val="22"/>
          <w:szCs w:val="22"/>
          <w:lang w:val="en-GB"/>
        </w:rPr>
        <w:t>coarse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）的收縮期心雜音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明顯的第二心音（</w:t>
      </w:r>
      <w:r>
        <w:rPr>
          <w:rFonts w:ascii="Calibri" w:hAnsi="Calibri" w:cs="Calibri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E168BF" w:rsidRDefault="00E168B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lastRenderedPageBreak/>
        <w:t>診斷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產前心臟超音波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可見單一大型血管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胸腔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主動脈弓右偏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肺血紋增加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若合併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DiGeorge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症候群：胸腺缺失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通常正常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血氧飽和度（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SpO₂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下降</w:t>
      </w:r>
    </w:p>
    <w:p w:rsidR="00E168BF" w:rsidRDefault="00E168BF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初期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穩定心肺功能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利尿劑、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Dopamine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呼吸器支持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矯正代謝性酸中毒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Rastelli procedure</w:t>
      </w:r>
    </w:p>
    <w:p w:rsidR="00E168BF" w:rsidRDefault="00E168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新生兒期即建議手術矯正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，通常包含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修補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並分離肺動脈與主動脈血流</w:t>
      </w:r>
    </w:p>
    <w:p w:rsidR="00E168BF" w:rsidRDefault="00E168B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E168BF" w:rsidRDefault="00E168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若成功進行手術矯正，</w:t>
      </w:r>
      <w:r>
        <w:rPr>
          <w:rFonts w:ascii="Calibri" w:hAnsi="Calibri" w:cs="Calibri"/>
          <w:sz w:val="22"/>
          <w:szCs w:val="22"/>
          <w:lang w:val="en-GB"/>
        </w:rPr>
        <w:t xml:space="preserve">30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年存活率約為</w:t>
      </w:r>
      <w:r>
        <w:rPr>
          <w:rFonts w:ascii="Calibri" w:hAnsi="Calibri" w:cs="Calibri"/>
          <w:sz w:val="22"/>
          <w:szCs w:val="22"/>
          <w:lang w:val="en-GB"/>
        </w:rPr>
        <w:t xml:space="preserve"> 70%</w:t>
      </w:r>
    </w:p>
    <w:p w:rsidR="00E168BF" w:rsidRDefault="00E168B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E168BF" w:rsidRDefault="00E168B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E168BF" w:rsidRDefault="00E168B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E168BF" w:rsidRDefault="00E168B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 xml:space="preserve">Principles of Surgery 11th Edition </w:t>
      </w:r>
    </w:p>
    <w:p w:rsidR="00E168BF" w:rsidRDefault="00E168B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Persistent Truncus Arteriosus, AMBOSS</w:t>
      </w:r>
    </w:p>
    <w:p w:rsidR="00E168BF" w:rsidRDefault="00E168B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68BF" w:rsidRDefault="00E168BF" w:rsidP="00E168BF">
      <w:r>
        <w:separator/>
      </w:r>
    </w:p>
  </w:endnote>
  <w:endnote w:type="continuationSeparator" w:id="0">
    <w:p w:rsidR="00E168BF" w:rsidRDefault="00E168BF" w:rsidP="00E16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68BF" w:rsidRDefault="00E168BF" w:rsidP="00E168BF">
      <w:r>
        <w:separator/>
      </w:r>
    </w:p>
  </w:footnote>
  <w:footnote w:type="continuationSeparator" w:id="0">
    <w:p w:rsidR="00E168BF" w:rsidRDefault="00E168BF" w:rsidP="00E168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3A01"/>
    <w:multiLevelType w:val="multilevel"/>
    <w:tmpl w:val="E9F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93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BF"/>
    <w:rsid w:val="00DF7546"/>
    <w:rsid w:val="00E1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E4D26C-4AD5-4158-9234-8859DDB0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168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168B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168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168B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