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D28" w:rsidRDefault="00805D2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食道穿孔</w:t>
      </w:r>
    </w:p>
    <w:p w:rsidR="00805D28" w:rsidRDefault="00805D2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805D28" w:rsidRDefault="00805D2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2:40</w:t>
      </w:r>
    </w:p>
    <w:p w:rsidR="00805D28" w:rsidRDefault="00805D2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805D28" w:rsidRDefault="00805D28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Boerhaave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：男</w:t>
      </w:r>
      <w:r>
        <w:rPr>
          <w:rFonts w:ascii="Lato" w:hAnsi="Lato" w:cs="Calibri"/>
          <w:color w:val="1A1C1C"/>
          <w:shd w:val="clear" w:color="auto" w:fill="FFFFFF"/>
        </w:rPr>
        <w:t> &gt;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 xml:space="preserve"> 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約三分之二的患者，穿孔局限於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胸段食道（</w:t>
      </w:r>
      <w:r>
        <w:rPr>
          <w:rFonts w:ascii="Calibri" w:hAnsi="Calibri" w:cs="Calibri"/>
          <w:b/>
          <w:bCs/>
          <w:sz w:val="22"/>
          <w:szCs w:val="22"/>
        </w:rPr>
        <w:t>thoracic esophagus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，剩下三分之一則涉及腹部食道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805D28" w:rsidRDefault="00805D28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上消化道內視鏡、手術</w:t>
      </w:r>
    </w:p>
    <w:p w:rsidR="00805D28" w:rsidRDefault="00805D2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異物或腐蝕性物質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骨頭、假牙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強鹼、強酸物質：清潔劑、電池</w:t>
      </w:r>
    </w:p>
    <w:p w:rsidR="00805D28" w:rsidRDefault="00805D2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創傷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鈍傷、穿刺傷</w:t>
      </w:r>
    </w:p>
    <w:p w:rsidR="00805D28" w:rsidRDefault="00805D2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</w:t>
      </w:r>
    </w:p>
    <w:p w:rsidR="00805D28" w:rsidRDefault="00805D2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念珠菌（</w:t>
      </w:r>
      <w:r>
        <w:rPr>
          <w:rFonts w:ascii="Calibri" w:hAnsi="Calibri" w:cs="Calibri"/>
          <w:b/>
          <w:bCs/>
          <w:sz w:val="22"/>
          <w:szCs w:val="22"/>
        </w:rPr>
        <w:t>Candida spp.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單純皰疹（</w:t>
      </w:r>
      <w:r>
        <w:rPr>
          <w:rFonts w:ascii="Calibri" w:hAnsi="Calibri" w:cs="Calibri"/>
          <w:b/>
          <w:bCs/>
          <w:sz w:val="22"/>
          <w:szCs w:val="22"/>
        </w:rPr>
        <w:t>Herpes simplex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結核（</w:t>
      </w:r>
      <w:r>
        <w:rPr>
          <w:rFonts w:ascii="Calibri" w:hAnsi="Calibri" w:cs="Calibri"/>
          <w:b/>
          <w:bCs/>
          <w:sz w:val="22"/>
          <w:szCs w:val="22"/>
        </w:rPr>
        <w:t>Tuberculosis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梅毒（</w:t>
      </w:r>
      <w:r>
        <w:rPr>
          <w:rFonts w:ascii="Calibri" w:hAnsi="Calibri" w:cs="Calibri"/>
          <w:b/>
          <w:bCs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症狀通常不具特異性，所以對於近期有誘發因子（嘔吐、上消化道內視鏡、創傷、食道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縱膈腫瘤），需保持高度懷疑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Mackler triad</w:t>
      </w:r>
    </w:p>
    <w:p w:rsidR="00805D28" w:rsidRDefault="00805D2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805D28" w:rsidRDefault="00805D2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胸骨後疼痛（</w:t>
      </w:r>
      <w:r>
        <w:rPr>
          <w:rFonts w:ascii="Calibri" w:hAnsi="Calibri" w:cs="Calibri"/>
          <w:sz w:val="22"/>
          <w:szCs w:val="22"/>
        </w:rPr>
        <w:t>retrosternal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）：劇烈、常放射至背部</w:t>
      </w:r>
    </w:p>
    <w:p w:rsidR="00805D28" w:rsidRDefault="00805D2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皮下或縱膈氣腫（</w:t>
      </w:r>
      <w:r>
        <w:rPr>
          <w:rFonts w:ascii="Calibri" w:hAnsi="Calibri" w:cs="Calibri"/>
          <w:sz w:val="22"/>
          <w:szCs w:val="22"/>
        </w:rPr>
        <w:t>Subcutaneous or mediastinal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鎖骨上窩及頸部可聽到摩擦音（</w:t>
      </w:r>
      <w:r>
        <w:rPr>
          <w:rFonts w:ascii="Calibri" w:hAnsi="Calibri" w:cs="Calibri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Hamman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：胸部聽診時可聽見爆裂音（</w:t>
      </w:r>
      <w:r>
        <w:rPr>
          <w:rFonts w:ascii="Calibri" w:hAnsi="Calibri" w:cs="Calibri"/>
          <w:sz w:val="22"/>
          <w:szCs w:val="22"/>
        </w:rPr>
        <w:t>crackling sound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疼痛：上腹、胸、頸部、喉嚨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呼吸困難、心跳加快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吞嚥困難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病情惡化時，會演變成敗血症或多重器官衰竭</w:t>
      </w:r>
    </w:p>
    <w:p w:rsidR="00805D28" w:rsidRDefault="00805D2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若近期內有進行內視鏡檢查，症狀通常在術後</w:t>
      </w:r>
      <w:r>
        <w:rPr>
          <w:rFonts w:ascii="Calibri" w:hAnsi="Calibri" w:cs="Calibri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小時內出現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805D28" w:rsidRDefault="00805D28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頸部、胸部、腹部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光：初步診斷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縱膈擴大（</w:t>
      </w:r>
      <w:r>
        <w:rPr>
          <w:rFonts w:ascii="Calibri" w:hAnsi="Calibri" w:cs="Calibri"/>
          <w:sz w:val="22"/>
          <w:szCs w:val="22"/>
        </w:rPr>
        <w:t>Widened 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腔外氣體：縱膈氣腫（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）、氣胸、氣腹（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）、皮下氣腫（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皮下氣腫可靠側面頸部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光發現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縱膈腔出現氣液平面（</w:t>
      </w:r>
      <w:r>
        <w:rPr>
          <w:rFonts w:ascii="Calibri" w:hAnsi="Calibri" w:cs="Calibri"/>
          <w:sz w:val="22"/>
          <w:szCs w:val="22"/>
        </w:rPr>
        <w:t>air-fluid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鋇劑食道攝影：確診黃金標準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可看到</w:t>
      </w:r>
      <w:r>
        <w:rPr>
          <w:rFonts w:ascii="微軟正黑體" w:eastAsia="微軟正黑體" w:hAnsi="微軟正黑體" w:cs="Calibri" w:hint="eastAsia"/>
          <w:sz w:val="22"/>
          <w:szCs w:val="22"/>
        </w:rPr>
        <w:t>鋇劑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外漏</w:t>
      </w:r>
      <w:r>
        <w:rPr>
          <w:rFonts w:ascii="微軟正黑體" w:eastAsia="微軟正黑體" w:hAnsi="微軟正黑體" w:cs="Calibri" w:hint="eastAsia"/>
          <w:sz w:val="22"/>
          <w:szCs w:val="22"/>
        </w:rPr>
        <w:t>，進而顯示穿孔位置與大小</w:t>
      </w:r>
    </w:p>
    <w:p w:rsidR="00805D28" w:rsidRDefault="00805D2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胸部與食道電腦斷層：確診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病人不穩定或無法配合食道攝影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光檢查發現氣腹膜、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影像發現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食道壁增厚、發炎、血腫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腔外氣體：縱膈氣腫、氣腹、氣胸、皮下氣腫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顯影劑外漏、或看到食道周圍有液體積聚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805D28" w:rsidRDefault="00805D2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軟式內視鏡（</w:t>
      </w:r>
      <w:r>
        <w:rPr>
          <w:rFonts w:ascii="Calibri" w:hAnsi="Calibri" w:cs="Calibri"/>
          <w:sz w:val="22"/>
          <w:szCs w:val="22"/>
        </w:rPr>
        <w:t>Flexible endoscopy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直接觀察穿孔位置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適應症：穿刺性食道外損傷（</w:t>
      </w:r>
      <w:r>
        <w:rPr>
          <w:rFonts w:ascii="Calibri" w:hAnsi="Calibri" w:cs="Calibri"/>
          <w:sz w:val="22"/>
          <w:szCs w:val="22"/>
        </w:rPr>
        <w:t>penetrating external esophageal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避免使用在非穿刺性食道損傷，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可能會擴大本來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的穿孔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：緊急內視鏡</w:t>
      </w:r>
    </w:p>
    <w:p w:rsidR="00805D28" w:rsidRDefault="00805D2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不建議使用口服顯影劑檢查</w:t>
      </w:r>
    </w:p>
    <w:p w:rsidR="00805D28" w:rsidRDefault="00805D2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嚴重度評估：</w:t>
      </w:r>
      <w:r>
        <w:rPr>
          <w:rFonts w:ascii="Calibri" w:hAnsi="Calibri" w:cs="Calibri"/>
          <w:sz w:val="22"/>
          <w:szCs w:val="22"/>
        </w:rPr>
        <w:t xml:space="preserve">Pittsburgh esophageal perforation severity score 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0-18</w:t>
      </w:r>
      <w:r>
        <w:rPr>
          <w:rFonts w:ascii="微軟正黑體" w:eastAsia="微軟正黑體" w:hAnsi="微軟正黑體" w:cs="Calibri" w:hint="eastAsia"/>
          <w:sz w:val="22"/>
          <w:szCs w:val="22"/>
        </w:rPr>
        <w:t>分</w:t>
      </w:r>
    </w:p>
    <w:p w:rsidR="00805D28" w:rsidRDefault="00805D2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分數越高，死亡率越高，預後越差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20"/>
        <w:gridCol w:w="798"/>
      </w:tblGrid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&gt;75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心搏過速（</w:t>
            </w:r>
            <w:r>
              <w:rPr>
                <w:rFonts w:ascii="Calibri" w:hAnsi="Calibri" w:cs="Calibri"/>
                <w:sz w:val="22"/>
                <w:szCs w:val="22"/>
              </w:rPr>
              <w:t>HR &gt;100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白血球過多（</w:t>
            </w:r>
            <w:r>
              <w:rPr>
                <w:rFonts w:ascii="Calibri" w:hAnsi="Calibri" w:cs="Calibri"/>
                <w:sz w:val="22"/>
                <w:szCs w:val="22"/>
              </w:rPr>
              <w:t>leukocytosis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&gt;10,000 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胸腔積液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發燒（體溫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&gt;38.5°C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343670822"/>
        </w:trPr>
        <w:tc>
          <w:tcPr>
            <w:tcW w:w="6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漏出物擴散（</w:t>
            </w:r>
            <w:r>
              <w:rPr>
                <w:rFonts w:ascii="Calibri" w:hAnsi="Calibri" w:cs="Calibri"/>
                <w:sz w:val="22"/>
                <w:szCs w:val="22"/>
              </w:rPr>
              <w:t>noncontained leak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）（透過鋇劑攝影或電腦斷層顯示）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呼吸衰竭（呼吸速率</w:t>
            </w:r>
            <w:r>
              <w:rPr>
                <w:rFonts w:ascii="Calibri" w:hAnsi="Calibri" w:cs="Calibri"/>
                <w:sz w:val="22"/>
                <w:szCs w:val="22"/>
              </w:rPr>
              <w:t>RR &gt;30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、氧氣需求增加，或需機械通氣）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診斷時間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&gt;24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343670822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5D28" w:rsidRDefault="00805D2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</w:tbl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805D28" w:rsidRDefault="00805D28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初步處置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評估</w:t>
      </w:r>
      <w:r>
        <w:rPr>
          <w:rFonts w:ascii="Calibri" w:hAnsi="Calibri" w:cs="Calibri"/>
          <w:b/>
          <w:bCs/>
          <w:sz w:val="22"/>
          <w:szCs w:val="22"/>
        </w:rPr>
        <w:t xml:space="preserve"> ABCDE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airway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breathing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給予氧氣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circulation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disability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神經功能評估，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評估病人的意識狀態、瞳孔反應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exposure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移除誘發物質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檢查體溫、觀察皮膚、脫去衣物檢查傷口、評估脊柱或直腸異常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靜脈輸液（</w:t>
      </w:r>
      <w:r>
        <w:rPr>
          <w:rFonts w:ascii="Calibri" w:hAnsi="Calibri" w:cs="Calibri"/>
          <w:b/>
          <w:bCs/>
          <w:sz w:val="22"/>
          <w:szCs w:val="22"/>
        </w:rPr>
        <w:t>IV fluid resuscitation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禁食（</w:t>
      </w:r>
      <w:r>
        <w:rPr>
          <w:rFonts w:ascii="Calibri" w:hAnsi="Calibri" w:cs="Calibri"/>
          <w:b/>
          <w:bCs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質子幫浦抑制劑（</w:t>
      </w:r>
      <w:r>
        <w:rPr>
          <w:rFonts w:ascii="Calibri" w:hAnsi="Calibri" w:cs="Calibri"/>
          <w:b/>
          <w:bCs/>
          <w:sz w:val="22"/>
          <w:szCs w:val="22"/>
        </w:rPr>
        <w:t>IV proton pump inhibitor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Pantoprazole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廣效抗生素（</w:t>
      </w:r>
      <w:r>
        <w:rPr>
          <w:rFonts w:ascii="Calibri" w:hAnsi="Calibri" w:cs="Calibri"/>
          <w:b/>
          <w:bCs/>
          <w:sz w:val="22"/>
          <w:szCs w:val="22"/>
        </w:rPr>
        <w:t>Broad-spectrum IV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早期給予，所有患者皆需</w:t>
      </w:r>
    </w:p>
    <w:p w:rsidR="00805D28" w:rsidRDefault="00805D2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Piperacillin/tazobactam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Meropenem + Vancomycin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止痛、止吐</w:t>
      </w:r>
    </w:p>
    <w:p w:rsidR="00805D28" w:rsidRDefault="00805D28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若有黴菌感染風險：加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Fluconazole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特殊情況</w:t>
      </w:r>
    </w:p>
    <w:p w:rsidR="00805D28" w:rsidRDefault="00805D28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氣胸或胸腔積液：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胸管放置</w:t>
      </w:r>
    </w:p>
    <w:p w:rsidR="00805D28" w:rsidRDefault="00805D28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靜脈止痛與止吐藥物（</w:t>
      </w:r>
      <w:r>
        <w:rPr>
          <w:rFonts w:ascii="Calibri" w:hAnsi="Calibri" w:cs="Calibri"/>
          <w:b/>
          <w:bCs/>
          <w:sz w:val="22"/>
          <w:szCs w:val="22"/>
        </w:rPr>
        <w:t>Parenteral analgesia and antiemetics as needed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誤食腐蝕性物質（</w:t>
      </w:r>
      <w:r>
        <w:rPr>
          <w:rFonts w:ascii="Calibri" w:hAnsi="Calibri" w:cs="Calibri"/>
          <w:b/>
          <w:bCs/>
          <w:sz w:val="22"/>
          <w:szCs w:val="22"/>
        </w:rPr>
        <w:t>Caustic ingestion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早期插管：若出現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呼吸道受損或阻塞</w:t>
      </w:r>
    </w:p>
    <w:p w:rsidR="00805D28" w:rsidRDefault="00805D2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困難氣道（</w:t>
      </w:r>
      <w:r>
        <w:rPr>
          <w:rFonts w:ascii="Calibri" w:hAnsi="Calibri" w:cs="Calibri"/>
          <w:sz w:val="22"/>
          <w:szCs w:val="22"/>
        </w:rPr>
        <w:t>difficult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影像喉頭鏡（</w:t>
      </w:r>
      <w:r>
        <w:rPr>
          <w:rFonts w:ascii="Calibri" w:hAnsi="Calibri" w:cs="Calibri"/>
          <w:b/>
          <w:bCs/>
          <w:sz w:val="22"/>
          <w:szCs w:val="22"/>
        </w:rPr>
        <w:t>video laryngoscopy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光纖插管（</w:t>
      </w:r>
      <w:r>
        <w:rPr>
          <w:rFonts w:ascii="Calibri" w:hAnsi="Calibri" w:cs="Calibri"/>
          <w:b/>
          <w:bCs/>
          <w:sz w:val="22"/>
          <w:szCs w:val="22"/>
        </w:rPr>
        <w:t>fiberoptic intubation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必要時執行緊急氣道手術</w:t>
      </w:r>
    </w:p>
    <w:p w:rsidR="00805D28" w:rsidRDefault="00805D2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避免進行胃腸道去污（</w:t>
      </w:r>
      <w:r>
        <w:rPr>
          <w:rFonts w:ascii="Calibri" w:hAnsi="Calibri" w:cs="Calibri"/>
          <w:sz w:val="22"/>
          <w:szCs w:val="22"/>
        </w:rPr>
        <w:t>GI decontamination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）或催吐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</w:t>
      </w:r>
    </w:p>
    <w:p w:rsidR="00805D28" w:rsidRDefault="00805D2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不要盲插鼻胃管：以免進一步傷害食道</w:t>
      </w:r>
    </w:p>
    <w:p w:rsidR="00805D28" w:rsidRDefault="00805D28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非手術治療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穿孔較小、影響範圍較局限</w:t>
      </w:r>
    </w:p>
    <w:p w:rsidR="00805D28" w:rsidRDefault="00805D28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侷限於頸部、縱膈內、或縱膈與臟層胸膜之間</w:t>
      </w:r>
    </w:p>
    <w:p w:rsidR="00805D28" w:rsidRDefault="00805D28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使用顯影劑檢查時，液體可從穿孔周圍回流到食道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穿孔位置：良性（</w:t>
      </w:r>
      <w:r>
        <w:rPr>
          <w:rFonts w:ascii="Calibri" w:hAnsi="Calibri" w:cs="Calibri"/>
          <w:sz w:val="22"/>
          <w:szCs w:val="22"/>
        </w:rPr>
        <w:t>benign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）、腹腔外、阻塞處的遠端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病人生命徵象穩定，沒有敗血症徵象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可隨時追蹤病情，若惡化可以馬上處理</w:t>
      </w:r>
    </w:p>
    <w:p w:rsidR="00805D28" w:rsidRDefault="00805D2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內視鏡介入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放置食道支架（</w:t>
      </w:r>
      <w:r>
        <w:rPr>
          <w:rFonts w:ascii="Calibri" w:hAnsi="Calibri" w:cs="Calibri"/>
          <w:sz w:val="22"/>
          <w:szCs w:val="22"/>
        </w:rPr>
        <w:t>Esophageal stent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適應症：初期且小型穿孔、污染輕微、位置適合</w:t>
      </w:r>
    </w:p>
    <w:p w:rsidR="00805D28" w:rsidRDefault="00805D2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優點：併發症發生率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較低、</w:t>
      </w:r>
      <w:r>
        <w:rPr>
          <w:rFonts w:ascii="微軟正黑體" w:eastAsia="微軟正黑體" w:hAnsi="微軟正黑體" w:cs="Calibri" w:hint="eastAsia"/>
          <w:sz w:val="22"/>
          <w:szCs w:val="22"/>
        </w:rPr>
        <w:t>住院天數較短、費用較低</w:t>
      </w:r>
    </w:p>
    <w:p w:rsidR="00805D28" w:rsidRDefault="00805D2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併發症：支架滑脫（</w:t>
      </w:r>
      <w:r>
        <w:rPr>
          <w:rFonts w:ascii="Calibri" w:hAnsi="Calibri" w:cs="Calibri"/>
          <w:sz w:val="22"/>
          <w:szCs w:val="22"/>
        </w:rPr>
        <w:t>stent migration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）、食道狹窄</w:t>
      </w:r>
    </w:p>
    <w:p w:rsidR="00805D28" w:rsidRDefault="00805D2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金屬比塑膠支架滑脫率低，但狹窄發生率高</w:t>
      </w:r>
    </w:p>
    <w:p w:rsidR="00805D28" w:rsidRDefault="00805D2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內視鏡止血夾（</w:t>
      </w:r>
      <w:r>
        <w:rPr>
          <w:rFonts w:ascii="Calibri" w:hAnsi="Calibri" w:cs="Calibri"/>
          <w:sz w:val="22"/>
          <w:szCs w:val="22"/>
        </w:rPr>
        <w:t>Endoclip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注射纖維蛋白組織膠（</w:t>
      </w:r>
      <w:r>
        <w:rPr>
          <w:rFonts w:ascii="Calibri" w:hAnsi="Calibri" w:cs="Calibri"/>
          <w:sz w:val="22"/>
          <w:szCs w:val="22"/>
        </w:rPr>
        <w:t>Fibrin glue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1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手術治療</w:t>
      </w:r>
    </w:p>
    <w:p w:rsidR="00805D28" w:rsidRDefault="00805D2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血流動力學不穩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不符合保守治療條件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保守治療期間病情惡化</w:t>
      </w:r>
    </w:p>
    <w:p w:rsidR="00805D28" w:rsidRDefault="00805D2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術式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切開肌層（</w:t>
      </w:r>
      <w:r>
        <w:rPr>
          <w:rFonts w:ascii="Calibri" w:hAnsi="Calibri" w:cs="Calibri"/>
          <w:sz w:val="22"/>
          <w:szCs w:val="22"/>
        </w:rPr>
        <w:t>myotomy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）暴露黏膜傷口，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清創壞死組織，並</w:t>
      </w:r>
      <w:r>
        <w:rPr>
          <w:rFonts w:ascii="微軟正黑體" w:eastAsia="微軟正黑體" w:hAnsi="微軟正黑體" w:cs="Calibri" w:hint="eastAsia"/>
          <w:sz w:val="22"/>
          <w:szCs w:val="22"/>
        </w:rPr>
        <w:t>縫合穿孔的區段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修補方法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小、組織健康的傷口：雙層縫合，加上組織瓣覆蓋</w:t>
      </w:r>
      <w:r>
        <w:rPr>
          <w:rFonts w:ascii="微軟正黑體" w:eastAsia="微軟正黑體" w:hAnsi="微軟正黑體" w:cs="Calibri" w:hint="eastAsia"/>
          <w:sz w:val="22"/>
          <w:szCs w:val="22"/>
        </w:rPr>
        <w:t>（肋間肌、心包脂肪、肋膜、網膜）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大範圍或壞死：</w:t>
      </w: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-tube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進行</w:t>
      </w:r>
      <w:r>
        <w:rPr>
          <w:rFonts w:ascii="微軟正黑體" w:eastAsia="微軟正黑體" w:hAnsi="微軟正黑體" w:cs="Calibri" w:hint="eastAsia"/>
          <w:sz w:val="22"/>
          <w:szCs w:val="22"/>
        </w:rPr>
        <w:t>可控性瘻管造口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controlled fistulization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若缺損極大、無法修復：食道切除（</w:t>
      </w:r>
      <w:r>
        <w:rPr>
          <w:rFonts w:ascii="Calibri" w:hAnsi="Calibri" w:cs="Calibri"/>
          <w:sz w:val="22"/>
          <w:szCs w:val="22"/>
        </w:rPr>
        <w:t>Esophagectomy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暫時食道分離（</w:t>
      </w:r>
      <w:r>
        <w:rPr>
          <w:rFonts w:ascii="Calibri" w:hAnsi="Calibri" w:cs="Calibri"/>
          <w:b/>
          <w:bCs/>
          <w:sz w:val="22"/>
          <w:szCs w:val="22"/>
        </w:rPr>
        <w:t>esophageal exclusion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頸部的食道造口（</w:t>
      </w:r>
      <w:r>
        <w:rPr>
          <w:rFonts w:ascii="Calibri" w:hAnsi="Calibri" w:cs="Calibri"/>
          <w:b/>
          <w:bCs/>
          <w:sz w:val="22"/>
          <w:szCs w:val="22"/>
        </w:rPr>
        <w:t>esophagostomy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）及胃造口（</w:t>
      </w:r>
      <w:r>
        <w:rPr>
          <w:rFonts w:ascii="Calibri" w:hAnsi="Calibri" w:cs="Calibri"/>
          <w:b/>
          <w:bCs/>
          <w:sz w:val="22"/>
          <w:szCs w:val="22"/>
        </w:rPr>
        <w:t>gastrostomy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後續再進行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食道重建</w:t>
      </w:r>
    </w:p>
    <w:p w:rsidR="00805D28" w:rsidRDefault="00805D2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用胃、結腸或小腸代替食道</w:t>
      </w:r>
    </w:p>
    <w:p w:rsidR="00805D28" w:rsidRDefault="00805D2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胃、空腸造口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減壓、引流，並提供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腸道營養</w:t>
      </w:r>
    </w:p>
    <w:p w:rsidR="00805D28" w:rsidRDefault="00805D2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805D28" w:rsidRDefault="00805D28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縱膈炎（</w:t>
      </w:r>
      <w:r>
        <w:rPr>
          <w:rFonts w:ascii="Calibri" w:hAnsi="Calibri" w:cs="Calibri"/>
          <w:sz w:val="22"/>
          <w:szCs w:val="22"/>
        </w:rPr>
        <w:t>Mediastinitis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腹膜炎（</w:t>
      </w:r>
      <w:r>
        <w:rPr>
          <w:rFonts w:ascii="Calibri" w:hAnsi="Calibri" w:cs="Calibri"/>
          <w:sz w:val="22"/>
          <w:szCs w:val="22"/>
        </w:rPr>
        <w:t>Peritonitis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）：若造成腹腔內穿孔</w:t>
      </w:r>
    </w:p>
    <w:p w:rsidR="00805D28" w:rsidRDefault="00805D28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膿胸（</w:t>
      </w:r>
      <w:r>
        <w:rPr>
          <w:rFonts w:ascii="Calibri" w:hAnsi="Calibri" w:cs="Calibri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嚴重敗血症或休克</w:t>
      </w:r>
    </w:p>
    <w:p w:rsidR="00805D28" w:rsidRDefault="00805D28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多重器官衰竭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805D28" w:rsidRDefault="00805D28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死亡率：</w:t>
      </w:r>
      <w:r>
        <w:rPr>
          <w:rFonts w:ascii="Calibri" w:hAnsi="Calibri" w:cs="Calibri"/>
          <w:sz w:val="22"/>
          <w:szCs w:val="22"/>
        </w:rPr>
        <w:t>10-50%</w:t>
      </w:r>
    </w:p>
    <w:p w:rsidR="00805D28" w:rsidRDefault="00805D28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在事件發生後</w:t>
      </w:r>
      <w:r>
        <w:rPr>
          <w:rFonts w:ascii="Calibri" w:hAnsi="Calibri" w:cs="Calibri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小時內介入，預後較佳</w:t>
      </w:r>
    </w:p>
    <w:p w:rsidR="00805D28" w:rsidRDefault="00805D28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與癌症有關的穿孔則預後較差</w:t>
      </w:r>
    </w:p>
    <w:p w:rsidR="00805D28" w:rsidRDefault="00805D2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5D28" w:rsidRDefault="00805D28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05D28" w:rsidRDefault="00805D28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個論：自發性破裂（</w:t>
      </w:r>
      <w:r>
        <w:rPr>
          <w:rFonts w:ascii="Calibri" w:hAnsi="Calibri" w:cs="Calibri"/>
          <w:color w:val="1E4E79"/>
          <w:sz w:val="32"/>
          <w:szCs w:val="32"/>
        </w:rPr>
        <w:t>Spontaneous rupture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805D28" w:rsidRDefault="00805D28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Boerhaave syndrome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食道全層破裂（</w:t>
      </w:r>
      <w:r>
        <w:rPr>
          <w:rFonts w:ascii="Calibri" w:hAnsi="Calibri" w:cs="Calibri"/>
          <w:b/>
          <w:bCs/>
          <w:sz w:val="22"/>
          <w:szCs w:val="22"/>
        </w:rPr>
        <w:t>transmural rupture of the esophagus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病生理：劇烈嘔吐、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胸腔內壓升高（</w:t>
      </w:r>
      <w:r>
        <w:rPr>
          <w:rFonts w:ascii="Calibri" w:hAnsi="Calibri" w:cs="Calibri"/>
          <w:b/>
          <w:bCs/>
          <w:sz w:val="22"/>
          <w:szCs w:val="22"/>
        </w:rPr>
        <w:t>increased intrathoracic pressure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Calibri" w:hAnsi="Calibri" w:cs="Calibri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的破裂發生於食道遠端三分之一處的左背外側壁（</w:t>
      </w:r>
      <w:r>
        <w:rPr>
          <w:rFonts w:ascii="Calibri" w:hAnsi="Calibri" w:cs="Calibri"/>
          <w:sz w:val="22"/>
          <w:szCs w:val="22"/>
        </w:rPr>
        <w:t>left dorsolateral wall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誘發因子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大量飲酒或大量進食後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反覆嘔吐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引起胸壓升高的情況</w:t>
      </w:r>
    </w:p>
    <w:p w:rsidR="00805D28" w:rsidRDefault="00805D2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</w:t>
      </w:r>
    </w:p>
    <w:p w:rsidR="00805D28" w:rsidRDefault="00805D2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癲癇（</w:t>
      </w:r>
      <w:r>
        <w:rPr>
          <w:rFonts w:ascii="Calibri" w:hAnsi="Calibri" w:cs="Calibri"/>
          <w:b/>
          <w:bCs/>
          <w:sz w:val="22"/>
          <w:szCs w:val="22"/>
        </w:rPr>
        <w:t>seizure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長時間咳嗽</w:t>
      </w:r>
    </w:p>
    <w:p w:rsidR="00805D28" w:rsidRDefault="00805D2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重訓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劇烈的胸骨後疼痛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縱膈氣腫（</w:t>
      </w:r>
      <w:r>
        <w:rPr>
          <w:rFonts w:ascii="Calibri" w:hAnsi="Calibri" w:cs="Calibri"/>
          <w:b/>
          <w:bCs/>
          <w:sz w:val="22"/>
          <w:szCs w:val="22"/>
        </w:rPr>
        <w:t>mediastinal emphysema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鋇劑食道攝影、食道電腦斷層：</w:t>
      </w:r>
      <w:r>
        <w:rPr>
          <w:rFonts w:ascii="微軟正黑體" w:eastAsia="微軟正黑體" w:hAnsi="微軟正黑體" w:cs="Calibri" w:hint="eastAsia"/>
          <w:sz w:val="22"/>
          <w:szCs w:val="22"/>
        </w:rPr>
        <w:t>確診</w:t>
      </w:r>
    </w:p>
    <w:p w:rsidR="00805D28" w:rsidRDefault="00805D2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手術修補：大部分</w:t>
      </w:r>
    </w:p>
    <w:p w:rsidR="00805D28" w:rsidRDefault="00805D2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保守治療</w:t>
      </w:r>
    </w:p>
    <w:p w:rsidR="00805D28" w:rsidRDefault="00805D2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適應症：穿孔較小、病人情況穩定</w:t>
      </w:r>
    </w:p>
    <w:p w:rsidR="00805D28" w:rsidRDefault="00805D28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05D28" w:rsidRDefault="00805D28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05D28" w:rsidRDefault="00805D28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5D28" w:rsidRDefault="00805D28" w:rsidP="00805D28">
      <w:r>
        <w:separator/>
      </w:r>
    </w:p>
  </w:endnote>
  <w:endnote w:type="continuationSeparator" w:id="0">
    <w:p w:rsidR="00805D28" w:rsidRDefault="00805D28" w:rsidP="00805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5D28" w:rsidRDefault="00805D28" w:rsidP="00805D28">
      <w:r>
        <w:separator/>
      </w:r>
    </w:p>
  </w:footnote>
  <w:footnote w:type="continuationSeparator" w:id="0">
    <w:p w:rsidR="00805D28" w:rsidRDefault="00805D28" w:rsidP="00805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5F3F"/>
    <w:multiLevelType w:val="multilevel"/>
    <w:tmpl w:val="678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3653CF"/>
    <w:multiLevelType w:val="multilevel"/>
    <w:tmpl w:val="FE5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B41E9"/>
    <w:multiLevelType w:val="multilevel"/>
    <w:tmpl w:val="96E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061993"/>
    <w:multiLevelType w:val="multilevel"/>
    <w:tmpl w:val="9A7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9540C2"/>
    <w:multiLevelType w:val="multilevel"/>
    <w:tmpl w:val="309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D70F2E"/>
    <w:multiLevelType w:val="multilevel"/>
    <w:tmpl w:val="301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F27860"/>
    <w:multiLevelType w:val="multilevel"/>
    <w:tmpl w:val="45D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235D25"/>
    <w:multiLevelType w:val="multilevel"/>
    <w:tmpl w:val="60E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541B1F"/>
    <w:multiLevelType w:val="multilevel"/>
    <w:tmpl w:val="6E0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2400264">
    <w:abstractNumId w:val="6"/>
  </w:num>
  <w:num w:numId="2" w16cid:durableId="1335525158">
    <w:abstractNumId w:val="0"/>
  </w:num>
  <w:num w:numId="3" w16cid:durableId="781924768">
    <w:abstractNumId w:val="2"/>
  </w:num>
  <w:num w:numId="4" w16cid:durableId="856844457">
    <w:abstractNumId w:val="7"/>
  </w:num>
  <w:num w:numId="5" w16cid:durableId="16933118">
    <w:abstractNumId w:val="5"/>
  </w:num>
  <w:num w:numId="6" w16cid:durableId="1451119836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263297351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190795668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1867134085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95685840">
    <w:abstractNumId w:val="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037243159">
    <w:abstractNumId w:val="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66735806">
    <w:abstractNumId w:val="8"/>
  </w:num>
  <w:num w:numId="13" w16cid:durableId="918714747">
    <w:abstractNumId w:val="3"/>
  </w:num>
  <w:num w:numId="14" w16cid:durableId="563756473">
    <w:abstractNumId w:val="4"/>
  </w:num>
  <w:num w:numId="15" w16cid:durableId="7105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28"/>
    <w:rsid w:val="00537D5B"/>
    <w:rsid w:val="0080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DA10BC-9CBD-450D-8CC3-17B4E14B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805D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05D2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05D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05D2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7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