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995" w:rsidRDefault="0026799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顱內壓</w:t>
      </w:r>
    </w:p>
    <w:p w:rsidR="00267995" w:rsidRDefault="0026799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67995" w:rsidRDefault="0026799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267995" w:rsidRDefault="0026799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基礎生理</w:t>
      </w:r>
    </w:p>
    <w:p w:rsidR="00267995" w:rsidRDefault="00267995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顱內各結構體積大小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267995" w:rsidRDefault="00267995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Monro-Kellie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原則</w:t>
      </w:r>
    </w:p>
    <w:p w:rsidR="00267995" w:rsidRDefault="00267995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顱內的整體內容物（如腦組織、腦脊髓液與血液）的總體積是固定的，這種穩定平衡使顱內壓力維持在一定範圍內；若其中某一部分體積增加而沒有其他部分相應減少，將會壓迫其他內容物，導致顱內壓上升。</w:t>
      </w:r>
    </w:p>
    <w:p w:rsidR="00267995" w:rsidRDefault="00267995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大腦（含細胞外液）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1400ml</w:t>
      </w:r>
    </w:p>
    <w:p w:rsidR="00267995" w:rsidRDefault="00267995">
      <w:pPr>
        <w:pStyle w:val="Web"/>
        <w:spacing w:before="0" w:beforeAutospacing="0" w:after="0" w:afterAutospacing="0" w:line="340" w:lineRule="atLeast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大腦血流量（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cerebral blood volume, CBV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267995" w:rsidRDefault="00267995">
      <w:pPr>
        <w:numPr>
          <w:ilvl w:val="1"/>
          <w:numId w:val="1"/>
        </w:numPr>
        <w:spacing w:line="34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267995" w:rsidRDefault="00267995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脈絡叢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(choroid plexus)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分泌</w:t>
      </w:r>
    </w:p>
    <w:p w:rsidR="00267995" w:rsidRDefault="00267995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每天定量製造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500mL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=28.3ml/hr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=3ml/kg/hr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），並回收等量的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</w:p>
    <w:p w:rsidR="00267995" w:rsidRDefault="00267995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任何時間下腦室及蜘蛛膜下腔的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只有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267995" w:rsidRDefault="00267995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代表每天會循環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3~4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</w:t>
      </w:r>
    </w:p>
    <w:p w:rsidR="00267995" w:rsidRDefault="00267995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流向</w:t>
      </w:r>
    </w:p>
    <w:p w:rsidR="00267995" w:rsidRDefault="00267995">
      <w:pPr>
        <w:numPr>
          <w:ilvl w:val="3"/>
          <w:numId w:val="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側腦室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腦室間孔（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interventricular foramina=foramen of Monro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第三腦室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塞爾維氏大腦導水管（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central aqueduct of Sylvius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第四腦室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正中孔（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medial aperture = foramen of Magendie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個外側孔（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lateral aperture=foramen of Luschka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小腦延髓池（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cisterna magna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）、橋腦池（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pontine cistera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脊髓</w:t>
      </w:r>
      <w:r>
        <w:rPr>
          <w:rFonts w:ascii="微軟正黑體" w:eastAsia="微軟正黑體" w:hAnsi="微軟正黑體" w:cs="Calibri" w:hint="eastAsia"/>
          <w:sz w:val="22"/>
          <w:szCs w:val="22"/>
        </w:rPr>
        <w:t>、其他蜘蛛膜下腔的空間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蛛膜絨毛（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arachnoid villi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吸收回到靜脈系統</w:t>
      </w:r>
    </w:p>
    <w:p w:rsidR="00267995" w:rsidRDefault="0026799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lastRenderedPageBreak/>
        <w:t>顱內壓生理調控</w:t>
      </w:r>
    </w:p>
    <w:p w:rsidR="00267995" w:rsidRDefault="00267995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Monro-KeIIie doctrine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（孟洛學說）</w:t>
      </w:r>
    </w:p>
    <w:p w:rsidR="00267995" w:rsidRDefault="00267995">
      <w:pPr>
        <w:numPr>
          <w:ilvl w:val="3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頭顱為封閉性的堅硬結構，內容物有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大腦</w:t>
      </w:r>
      <w:r>
        <w:rPr>
          <w:rFonts w:ascii="微軟正黑體" w:eastAsia="微軟正黑體" w:hAnsi="微軟正黑體" w:cs="Calibri" w:hint="eastAsia"/>
          <w:sz w:val="22"/>
          <w:szCs w:val="22"/>
        </w:rPr>
        <w:t>(80%)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、大腦血流量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(10%)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CSF(10%)</w:t>
      </w:r>
    </w:p>
    <w:p w:rsidR="00267995" w:rsidRDefault="00267995">
      <w:pPr>
        <w:numPr>
          <w:ilvl w:val="3"/>
          <w:numId w:val="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內容物總體積固定並維持恆定壓力，若其中一項體積增加，通常會有另外一項相對應的減少。</w:t>
      </w:r>
    </w:p>
    <w:p w:rsidR="00267995" w:rsidRDefault="00267995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當補償機制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失衡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，會壓迫其他內容物體積並使顱內壓上升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267995" w:rsidRDefault="00267995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顱內壓上升時有以下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代償機制平衡</w:t>
      </w:r>
    </w:p>
    <w:p w:rsidR="00267995" w:rsidRDefault="00267995">
      <w:pPr>
        <w:numPr>
          <w:ilvl w:val="4"/>
          <w:numId w:val="7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離開大腦流向腰椎膜</w:t>
      </w:r>
    </w:p>
    <w:p w:rsidR="00267995" w:rsidRDefault="00267995">
      <w:pPr>
        <w:numPr>
          <w:ilvl w:val="4"/>
          <w:numId w:val="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透過內頸靜脈回流，降低大腦血流量</w:t>
      </w:r>
    </w:p>
    <w:p w:rsidR="00267995" w:rsidRDefault="00267995">
      <w:pPr>
        <w:numPr>
          <w:ilvl w:val="4"/>
          <w:numId w:val="9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細胞外液減少</w:t>
      </w:r>
    </w:p>
    <w:p w:rsidR="00267995" w:rsidRDefault="00267995">
      <w:pPr>
        <w:numPr>
          <w:ilvl w:val="1"/>
          <w:numId w:val="1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顱內壓升高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(Increased Intracranial Pressure)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267995" w:rsidRDefault="00267995">
      <w:pPr>
        <w:numPr>
          <w:ilvl w:val="3"/>
          <w:numId w:val="1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顱內壓無法代償、持續上升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267995" w:rsidRDefault="00267995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腦容量增加</w:t>
      </w:r>
    </w:p>
    <w:p w:rsidR="00267995" w:rsidRDefault="00267995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sz w:val="22"/>
          <w:szCs w:val="22"/>
        </w:rPr>
        <w:t>）增加</w:t>
      </w:r>
    </w:p>
    <w:p w:rsidR="00267995" w:rsidRDefault="00267995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血容量增加</w:t>
      </w:r>
    </w:p>
    <w:p w:rsidR="00267995" w:rsidRDefault="00267995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特發性顱內高壓</w:t>
      </w:r>
    </w:p>
    <w:p w:rsidR="00267995" w:rsidRDefault="00267995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其他原因：顱骨畸形、維生素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過多、四環黴素使用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大腦灌注壓（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Cerebral perfusion pressure, CPP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）降低</w:t>
      </w:r>
    </w:p>
    <w:p w:rsidR="00267995" w:rsidRDefault="00267995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= MAP - ICP</w:t>
      </w:r>
    </w:p>
    <w:p w:rsidR="00267995" w:rsidRDefault="00267995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正常人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&gt;50mmHg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ICP&lt;15mmHg</w:t>
      </w:r>
    </w:p>
    <w:p w:rsidR="00267995" w:rsidRDefault="00267995">
      <w:pPr>
        <w:numPr>
          <w:ilvl w:val="3"/>
          <w:numId w:val="1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sz w:val="22"/>
          <w:szCs w:val="22"/>
        </w:rPr>
        <w:t>都可能造成</w:t>
      </w: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、僅列出部分原因如下：</w:t>
      </w:r>
    </w:p>
    <w:p w:rsidR="00267995" w:rsidRDefault="00267995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腦容量增加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：外傷、缺血、高氨血症、尿毒症腦病、低血鈉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佔位效應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mass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，如腫瘤、膿瘍等</w:t>
      </w:r>
    </w:p>
    <w:p w:rsidR="00267995" w:rsidRDefault="00267995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）增加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生成增加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脈絡叢腫瘤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CSF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再吸收減少：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阻塞性腦積水、腦膜炎症或肉芽腫</w:t>
      </w:r>
    </w:p>
    <w:p w:rsidR="00267995" w:rsidRDefault="00267995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血容量增加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高碳酸血症</w:t>
      </w:r>
    </w:p>
    <w:p w:rsidR="00267995" w:rsidRDefault="00267995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頭痛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嘔吐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通常不伴隨噁心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視乳頭水腫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第六對腦神經麻痺（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CN VI palsy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意識不清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分數下降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Cushing triad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：高血壓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心搏過緩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呼吸不規律</w:t>
      </w:r>
    </w:p>
    <w:p w:rsidR="00267995" w:rsidRDefault="00267995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代表腦幹受壓迫、病況危急，有腦疝風險，需立即處置</w:t>
      </w:r>
    </w:p>
    <w:p w:rsidR="00267995" w:rsidRDefault="00267995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心搏過緩：因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延腦的迷走神經中樞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受壓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有時會用顱內壓監測器</w:t>
      </w:r>
    </w:p>
    <w:p w:rsidR="00267995" w:rsidRDefault="00267995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優先確保呼吸道暢通及確認血流動力學：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check vital sign</w:t>
      </w:r>
    </w:p>
    <w:p w:rsidR="00267995" w:rsidRDefault="00267995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目標是維持腦灌注壓（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），可藉由升高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MAP</w:t>
      </w:r>
      <w:r>
        <w:rPr>
          <w:rFonts w:ascii="微軟正黑體" w:eastAsia="微軟正黑體" w:hAnsi="微軟正黑體" w:cs="Calibri" w:hint="eastAsia"/>
          <w:sz w:val="22"/>
          <w:szCs w:val="22"/>
        </w:rPr>
        <w:t>、治療根本原因、降低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  <w:r>
        <w:rPr>
          <w:rFonts w:ascii="微軟正黑體" w:eastAsia="微軟正黑體" w:hAnsi="微軟正黑體" w:cs="Calibri" w:hint="eastAsia"/>
          <w:sz w:val="22"/>
          <w:szCs w:val="22"/>
        </w:rPr>
        <w:t>來達成，方法包括：</w:t>
      </w:r>
    </w:p>
    <w:p w:rsidR="00267995" w:rsidRDefault="00267995">
      <w:pPr>
        <w:numPr>
          <w:ilvl w:val="4"/>
          <w:numId w:val="17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床頭搖高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度（很愛考角度幾度）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故意讓患者短時間內過度換氣</w:t>
      </w:r>
    </w:p>
    <w:p w:rsidR="00267995" w:rsidRDefault="00267995">
      <w:pPr>
        <w:numPr>
          <w:ilvl w:val="5"/>
          <w:numId w:val="19"/>
        </w:numPr>
        <w:spacing w:line="34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pCO2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30 mm Hg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，提高血液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值來降低腦血流量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使用滲透性藥物像是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甘露醇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Mannitol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3%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高張食鹽水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腰椎穿刺、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腦室外引流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EVD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引流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並同時監測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（適用於慢性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IIH </w:t>
      </w:r>
      <w:r>
        <w:rPr>
          <w:rFonts w:ascii="微軟正黑體" w:eastAsia="微軟正黑體" w:hAnsi="微軟正黑體" w:cs="Calibri" w:hint="eastAsia"/>
          <w:sz w:val="22"/>
          <w:szCs w:val="22"/>
        </w:rPr>
        <w:t>有失明風險的患者）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低溫治療、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巴比妥類藥物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可適用於頑固性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267995" w:rsidRDefault="00267995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開顱減壓術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Decompressive craniectomy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）是最終手段</w:t>
      </w:r>
    </w:p>
    <w:p w:rsidR="00267995" w:rsidRDefault="00267995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267995" w:rsidRDefault="00267995">
      <w:pPr>
        <w:numPr>
          <w:ilvl w:val="1"/>
          <w:numId w:val="2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特異性顱內高壓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(Idiopathic intracranial hypertension)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267995" w:rsidRDefault="00267995">
      <w:pPr>
        <w:numPr>
          <w:ilvl w:val="3"/>
          <w:numId w:val="2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顱內壓持續上升，找不到合理的病因可以解釋，</w:t>
      </w:r>
      <w:r>
        <w:rPr>
          <w:rFonts w:ascii="微軟正黑體" w:eastAsia="微軟正黑體" w:hAnsi="微軟正黑體" w:cs="Calibri" w:hint="eastAsia"/>
          <w:sz w:val="22"/>
          <w:szCs w:val="22"/>
        </w:rPr>
        <w:t>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沒有特定神經學影像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流行病學</w:t>
      </w:r>
    </w:p>
    <w:p w:rsidR="00267995" w:rsidRDefault="00267995">
      <w:pPr>
        <w:numPr>
          <w:ilvl w:val="3"/>
          <w:numId w:val="22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主要影響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肥胖的育齡女性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267995" w:rsidRDefault="00267995">
      <w:pPr>
        <w:numPr>
          <w:ilvl w:val="3"/>
          <w:numId w:val="2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目前未有明確病因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267995" w:rsidRDefault="00267995">
      <w:pPr>
        <w:numPr>
          <w:ilvl w:val="3"/>
          <w:numId w:val="2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和顱內壓升高（</w:t>
      </w:r>
      <w:r>
        <w:rPr>
          <w:rFonts w:ascii="Calibri" w:hAnsi="Calibri" w:cs="Calibri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）類似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診斷</w:t>
      </w:r>
    </w:p>
    <w:p w:rsidR="00267995" w:rsidRDefault="00267995">
      <w:pPr>
        <w:numPr>
          <w:ilvl w:val="3"/>
          <w:numId w:val="2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腦部影像正常</w:t>
      </w:r>
    </w:p>
    <w:p w:rsidR="00267995" w:rsidRDefault="00267995">
      <w:pPr>
        <w:numPr>
          <w:ilvl w:val="3"/>
          <w:numId w:val="2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腰椎穿刺：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 cm H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成分沒變化</w:t>
      </w:r>
    </w:p>
    <w:p w:rsidR="00267995" w:rsidRDefault="00267995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267995" w:rsidRDefault="00267995">
      <w:pPr>
        <w:numPr>
          <w:ilvl w:val="3"/>
          <w:numId w:val="27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碳酸酐酶抑制劑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(Acetazolamide) </w:t>
      </w:r>
      <w:r>
        <w:rPr>
          <w:rFonts w:ascii="微軟正黑體" w:eastAsia="微軟正黑體" w:hAnsi="微軟正黑體" w:cs="Calibri" w:hint="eastAsia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生成</w:t>
      </w:r>
    </w:p>
    <w:p w:rsidR="00267995" w:rsidRDefault="00267995">
      <w:pPr>
        <w:numPr>
          <w:ilvl w:val="3"/>
          <w:numId w:val="28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</w:p>
    <w:p w:rsidR="00267995" w:rsidRDefault="00267995">
      <w:pPr>
        <w:numPr>
          <w:ilvl w:val="3"/>
          <w:numId w:val="29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侵入性治療一樣是最終手段，包含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shunting</w:t>
      </w:r>
    </w:p>
    <w:p w:rsidR="00267995" w:rsidRDefault="00267995">
      <w:pPr>
        <w:numPr>
          <w:ilvl w:val="1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Jauregui, R., &amp; Busis, N. A. (2023).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The New England Journal of Medicine, 389</w:t>
      </w:r>
      <w:r>
        <w:rPr>
          <w:rFonts w:ascii="微軟正黑體" w:eastAsia="微軟正黑體" w:hAnsi="微軟正黑體" w:cs="Calibri" w:hint="eastAsia"/>
          <w:sz w:val="22"/>
          <w:szCs w:val="22"/>
        </w:rPr>
        <w:t>(26), 2467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2476.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Fonseca, P. L., Rigamonti, D., Miller, N. R., &amp; Subramanian, P. S. (2014). Visual outcomes of surgical intervention for pseudotumour cerebri: Optic nerve sheath fenestration versus cerebrospinal fluid diversion.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British Journal of Ophthalmology, 98</w:t>
      </w:r>
      <w:r>
        <w:rPr>
          <w:rFonts w:ascii="微軟正黑體" w:eastAsia="微軟正黑體" w:hAnsi="微軟正黑體" w:cs="Calibri" w:hint="eastAsia"/>
          <w:sz w:val="22"/>
          <w:szCs w:val="22"/>
        </w:rPr>
        <w:t>(10), 1360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1363.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 (2017). Update on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Neurologic Clinics, 35</w:t>
      </w:r>
      <w:r>
        <w:rPr>
          <w:rFonts w:ascii="微軟正黑體" w:eastAsia="微軟正黑體" w:hAnsi="微軟正黑體" w:cs="Calibri" w:hint="eastAsia"/>
          <w:sz w:val="22"/>
          <w:szCs w:val="22"/>
        </w:rPr>
        <w:t>(1), 45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57. 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Biousse, V., Bruce, B. B., &amp; Newman, N. J. (2012). Update on the pathophysiology and management of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Journal of Neurology, Neurosurgery &amp; Psychiatry, 83</w:t>
      </w:r>
      <w:r>
        <w:rPr>
          <w:rFonts w:ascii="微軟正黑體" w:eastAsia="微軟正黑體" w:hAnsi="微軟正黑體" w:cs="Calibri" w:hint="eastAsia"/>
          <w:sz w:val="22"/>
          <w:szCs w:val="22"/>
        </w:rPr>
        <w:t>(5), 488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494.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Radhakrishnan, K., Ahlskog, J. E., Cross, S. A., et al. (1993). Idiopathic intracranial hypertension (pseudotumor cerebri): Descriptive epidemiology in Rochester, Minn, 1976 to 1990.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50</w:t>
      </w:r>
      <w:r>
        <w:rPr>
          <w:rFonts w:ascii="微軟正黑體" w:eastAsia="微軟正黑體" w:hAnsi="微軟正黑體" w:cs="Calibri" w:hint="eastAsia"/>
          <w:sz w:val="22"/>
          <w:szCs w:val="22"/>
        </w:rPr>
        <w:t>(1), 78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80.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Corbett, J. J., Savino, P. J., Thompson, H. S., et al. (1982). Visual loss in pseudotumor cerebri: Follow-up of 57 patients from five to 41 years and a profile of 14 patients with permanent severe visual loss.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39</w:t>
      </w:r>
      <w:r>
        <w:rPr>
          <w:rFonts w:ascii="微軟正黑體" w:eastAsia="微軟正黑體" w:hAnsi="微軟正黑體" w:cs="Calibri" w:hint="eastAsia"/>
          <w:sz w:val="22"/>
          <w:szCs w:val="22"/>
        </w:rPr>
        <w:t>(8), 461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474.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Digre, K. B., Bruce, B. B., McDermott, M. P., et al. (2015). Quality of life in idiopathic intracranial hypertension at diagnosis: IIH Treatment Trial results.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84</w:t>
      </w:r>
      <w:r>
        <w:rPr>
          <w:rFonts w:ascii="微軟正黑體" w:eastAsia="微軟正黑體" w:hAnsi="微軟正黑體" w:cs="Calibri" w:hint="eastAsia"/>
          <w:sz w:val="22"/>
          <w:szCs w:val="22"/>
        </w:rPr>
        <w:t>(24), 2449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2456.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M., Kupersmith, M. J., Kieburtz, K. D., et al. (2014). The idiopathic intracranial hypertension treatment trial: Clinical profile at baseline.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JAMA Neurology, 71</w:t>
      </w:r>
      <w:r>
        <w:rPr>
          <w:rFonts w:ascii="微軟正黑體" w:eastAsia="微軟正黑體" w:hAnsi="微軟正黑體" w:cs="Calibri" w:hint="eastAsia"/>
          <w:sz w:val="22"/>
          <w:szCs w:val="22"/>
        </w:rPr>
        <w:t>(6), 693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701.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Thambisetty, M., Lavin, P. J., Newman, N. J., &amp; Biousse, V. (2007). Fulminant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68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Yri HM, Fagerlund B, Forchhammer HB, Jensen RH. Cognitive function in idiopathic intracranial hypertension: a prospective case-control study. BMJ Open. 2014 Apr 8;4(4):e004376. doi: 10.1136/bmjopen-2013-004376. PMID: 24713214; PMCID: PMC3987738.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Mokri B. The Monro-Kellie hypothesis: applications in CSF volume depletion. </w:t>
      </w:r>
      <w:r>
        <w:rPr>
          <w:rFonts w:ascii="Times New Roman" w:hAnsi="Times New Roman" w:cs="Times New Roman"/>
          <w:shd w:val="clear" w:color="auto" w:fill="FFFFFF"/>
        </w:rPr>
        <w:t>Neurology. 2001 Jun 26;56(12):1746-8.</w:t>
      </w:r>
    </w:p>
    <w:p w:rsidR="00267995" w:rsidRDefault="00267995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Marehbian J, Muehlschlegel S, Edlow BL, Hinson HE, Hwang DY. Medical Management of the Severe Traumatic Brain Injury Patient. </w:t>
      </w:r>
      <w:r>
        <w:rPr>
          <w:rFonts w:ascii="Times New Roman" w:hAnsi="Times New Roman" w:cs="Times New Roman"/>
          <w:shd w:val="clear" w:color="auto" w:fill="FFFFFF"/>
        </w:rPr>
        <w:t>Neurocrit Care. 2017 Dec;27(3):430-446.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995" w:rsidRDefault="00267995">
      <w:pPr>
        <w:pStyle w:val="Web"/>
        <w:spacing w:before="0" w:beforeAutospacing="0" w:after="16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7995" w:rsidRDefault="00267995" w:rsidP="00267995">
      <w:r>
        <w:separator/>
      </w:r>
    </w:p>
  </w:endnote>
  <w:endnote w:type="continuationSeparator" w:id="0">
    <w:p w:rsidR="00267995" w:rsidRDefault="00267995" w:rsidP="00267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7995" w:rsidRDefault="00267995" w:rsidP="00267995">
      <w:r>
        <w:separator/>
      </w:r>
    </w:p>
  </w:footnote>
  <w:footnote w:type="continuationSeparator" w:id="0">
    <w:p w:rsidR="00267995" w:rsidRDefault="00267995" w:rsidP="00267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765F"/>
    <w:multiLevelType w:val="multilevel"/>
    <w:tmpl w:val="AD2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21956">
    <w:abstractNumId w:val="0"/>
  </w:num>
  <w:num w:numId="2" w16cid:durableId="1289430523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5249328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4" w16cid:durableId="103897378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6785766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79945367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74267651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31722841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38818776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0333372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341297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5445553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5063628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6946991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8388901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20746208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2122324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858728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14992250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20" w16cid:durableId="20232430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965744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1784202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8223528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9037620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16770771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6" w16cid:durableId="21252712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 w16cid:durableId="19916676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6191846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 w16cid:durableId="21384451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0" w16cid:durableId="14006407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95"/>
    <w:rsid w:val="00267995"/>
    <w:rsid w:val="007B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E50B17-DFBD-4B9A-8AC1-738A870E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3">
    <w:name w:val="header"/>
    <w:basedOn w:val="a"/>
    <w:link w:val="a4"/>
    <w:uiPriority w:val="99"/>
    <w:unhideWhenUsed/>
    <w:rsid w:val="002679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799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79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799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