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F3D3A" w:rsidRDefault="005F3D3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TRALI</w:t>
      </w:r>
    </w:p>
    <w:p w:rsidR="005F3D3A" w:rsidRDefault="005F3D3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5F3D3A" w:rsidRDefault="005F3D3A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12:08 AM</w:t>
      </w:r>
    </w:p>
    <w:p w:rsidR="005F3D3A" w:rsidRDefault="005F3D3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5F3D3A" w:rsidRDefault="005F3D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5F3D3A" w:rsidRDefault="005F3D3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5F3D3A" w:rsidRDefault="005F3D3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5F3D3A" w:rsidRDefault="005F3D3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5F3D3A" w:rsidRDefault="005F3D3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5F3D3A" w:rsidRDefault="005F3D3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5F3D3A" w:rsidRDefault="005F3D3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5F3D3A" w:rsidRDefault="005F3D3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 xml:space="preserve">Transfusion-Related </w:t>
      </w:r>
      <w:r>
        <w:rPr>
          <w:rFonts w:ascii="微軟正黑體" w:eastAsia="微軟正黑體" w:hAnsi="微軟正黑體" w:cs="Calibri" w:hint="eastAsia"/>
          <w:sz w:val="28"/>
          <w:szCs w:val="28"/>
        </w:rPr>
        <w:t>Acute Lung Injury</w:t>
      </w:r>
      <w:r>
        <w:rPr>
          <w:rFonts w:ascii="微軟正黑體" w:eastAsia="微軟正黑體" w:hAnsi="微軟正黑體" w:cs="Calibri" w:hint="eastAsia"/>
          <w:sz w:val="28"/>
          <w:szCs w:val="28"/>
        </w:rPr>
        <w:t>，簡稱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TRALI </w:t>
      </w:r>
      <w:r>
        <w:rPr>
          <w:rFonts w:ascii="微軟正黑體" w:eastAsia="微軟正黑體" w:hAnsi="微軟正黑體" w:cs="Calibri" w:hint="eastAsia"/>
          <w:sz w:val="28"/>
          <w:szCs w:val="28"/>
        </w:rPr>
        <w:t>是一臨床症候群，屬於非心源性肺水腫，定義為輸注含血漿的血液製品後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</w:t>
      </w:r>
      <w:r>
        <w:rPr>
          <w:rFonts w:ascii="微軟正黑體" w:eastAsia="微軟正黑體" w:hAnsi="微軟正黑體" w:cs="Calibri" w:hint="eastAsia"/>
          <w:sz w:val="28"/>
          <w:szCs w:val="28"/>
        </w:rPr>
        <w:t>，出現急性肺損傷（</w:t>
      </w:r>
      <w:r>
        <w:rPr>
          <w:rFonts w:ascii="微軟正黑體" w:eastAsia="微軟正黑體" w:hAnsi="微軟正黑體" w:cs="Calibri" w:hint="eastAsia"/>
          <w:sz w:val="28"/>
          <w:szCs w:val="28"/>
        </w:rPr>
        <w:t>ALI</w:t>
      </w:r>
      <w:r>
        <w:rPr>
          <w:rFonts w:ascii="微軟正黑體" w:eastAsia="微軟正黑體" w:hAnsi="微軟正黑體" w:cs="Calibri" w:hint="eastAsia"/>
          <w:sz w:val="28"/>
          <w:szCs w:val="28"/>
        </w:rPr>
        <w:t>）的症狀。特徵包括：</w:t>
      </w:r>
    </w:p>
    <w:p w:rsidR="005F3D3A" w:rsidRDefault="005F3D3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急性呼吸困難</w:t>
      </w:r>
    </w:p>
    <w:p w:rsidR="005F3D3A" w:rsidRDefault="005F3D3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低氧血症</w:t>
      </w:r>
    </w:p>
    <w:p w:rsidR="005F3D3A" w:rsidRDefault="005F3D3A">
      <w:pPr>
        <w:numPr>
          <w:ilvl w:val="2"/>
          <w:numId w:val="1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胸部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X </w:t>
      </w:r>
      <w:r>
        <w:rPr>
          <w:rFonts w:ascii="微軟正黑體" w:eastAsia="微軟正黑體" w:hAnsi="微軟正黑體" w:cs="Calibri" w:hint="eastAsia"/>
          <w:sz w:val="22"/>
          <w:szCs w:val="22"/>
        </w:rPr>
        <w:t>光顯示雙側肺部浸潤</w:t>
      </w:r>
    </w:p>
    <w:p w:rsidR="005F3D3A" w:rsidRDefault="005F3D3A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5F3D3A" w:rsidRDefault="005F3D3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是因輸血引起的瀰漫性肺損傷所導致，其致病原因可用二次打擊模型</w:t>
      </w:r>
      <w:r>
        <w:rPr>
          <w:rFonts w:ascii="微軟正黑體" w:eastAsia="微軟正黑體" w:hAnsi="微軟正黑體" w:cs="Calibri" w:hint="eastAsia"/>
          <w:sz w:val="28"/>
          <w:szCs w:val="28"/>
        </w:rPr>
        <w:t xml:space="preserve">(Two-hit Model) </w:t>
      </w:r>
      <w:r>
        <w:rPr>
          <w:rFonts w:ascii="微軟正黑體" w:eastAsia="微軟正黑體" w:hAnsi="微軟正黑體" w:cs="Calibri" w:hint="eastAsia"/>
          <w:sz w:val="28"/>
          <w:szCs w:val="28"/>
        </w:rPr>
        <w:t>來解釋：</w:t>
      </w:r>
    </w:p>
    <w:p w:rsidR="005F3D3A" w:rsidRDefault="005F3D3A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第一次打擊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(Baseline)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 : </w:t>
      </w:r>
    </w:p>
    <w:p w:rsidR="005F3D3A" w:rsidRDefault="005F3D3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慢性酒精濫用、休克、肝臟手術、吸煙、機械通氣時較高的氣道壓力、血管內體液正平衡、低</w:t>
      </w:r>
      <w:r>
        <w:rPr>
          <w:rFonts w:ascii="微軟正黑體" w:eastAsia="微軟正黑體" w:hAnsi="微軟正黑體" w:cs="Calibri" w:hint="eastAsia"/>
          <w:sz w:val="22"/>
          <w:szCs w:val="22"/>
        </w:rPr>
        <w:t>IL-10</w:t>
      </w:r>
      <w:r>
        <w:rPr>
          <w:rFonts w:ascii="微軟正黑體" w:eastAsia="微軟正黑體" w:hAnsi="微軟正黑體" w:cs="Calibri" w:hint="eastAsia"/>
          <w:sz w:val="22"/>
          <w:szCs w:val="22"/>
        </w:rPr>
        <w:t>水平，以及全身性發炎。</w:t>
      </w:r>
    </w:p>
    <w:p w:rsidR="005F3D3A" w:rsidRDefault="005F3D3A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第二次打擊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輸血相關因素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)</w:t>
      </w:r>
    </w:p>
    <w:p w:rsidR="005F3D3A" w:rsidRDefault="005F3D3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抗白血球抗體（約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80%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的病例）</w:t>
      </w:r>
      <w:r>
        <w:rPr>
          <w:rFonts w:ascii="微軟正黑體" w:eastAsia="微軟正黑體" w:hAnsi="微軟正黑體" w:cs="Calibri" w:hint="eastAsia"/>
          <w:sz w:val="22"/>
          <w:szCs w:val="22"/>
        </w:rPr>
        <w:t>: Anti-HLA class I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Anti-HLA class II</w:t>
      </w:r>
      <w:r>
        <w:rPr>
          <w:rFonts w:ascii="微軟正黑體" w:eastAsia="微軟正黑體" w:hAnsi="微軟正黑體" w:cs="Calibri" w:hint="eastAsia"/>
          <w:sz w:val="22"/>
          <w:szCs w:val="22"/>
        </w:rPr>
        <w:t>以及</w:t>
      </w:r>
      <w:r>
        <w:rPr>
          <w:rFonts w:ascii="微軟正黑體" w:eastAsia="微軟正黑體" w:hAnsi="微軟正黑體" w:cs="Calibri" w:hint="eastAsia"/>
          <w:sz w:val="22"/>
          <w:szCs w:val="22"/>
        </w:rPr>
        <w:t>Anti-HNA</w:t>
      </w:r>
      <w:r>
        <w:rPr>
          <w:rFonts w:ascii="微軟正黑體" w:eastAsia="微軟正黑體" w:hAnsi="微軟正黑體" w:cs="Calibri" w:hint="eastAsia"/>
          <w:sz w:val="22"/>
          <w:szCs w:val="22"/>
        </w:rPr>
        <w:t>抗體</w:t>
      </w:r>
    </w:p>
    <w:p w:rsidR="005F3D3A" w:rsidRDefault="005F3D3A">
      <w:pPr>
        <w:numPr>
          <w:ilvl w:val="3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非抗體因素（約</w:t>
      </w:r>
      <w:r>
        <w:rPr>
          <w:rFonts w:ascii="微軟正黑體" w:eastAsia="微軟正黑體" w:hAnsi="微軟正黑體" w:cs="Calibri" w:hint="eastAsia"/>
          <w:sz w:val="22"/>
          <w:szCs w:val="22"/>
        </w:rPr>
        <w:t>20%</w:t>
      </w:r>
      <w:r>
        <w:rPr>
          <w:rFonts w:ascii="微軟正黑體" w:eastAsia="微軟正黑體" w:hAnsi="微軟正黑體" w:cs="Calibri" w:hint="eastAsia"/>
          <w:sz w:val="22"/>
          <w:szCs w:val="22"/>
        </w:rPr>
        <w:t>的病例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) : </w:t>
      </w:r>
      <w:r>
        <w:rPr>
          <w:rFonts w:ascii="微軟正黑體" w:eastAsia="微軟正黑體" w:hAnsi="微軟正黑體" w:cs="Calibri" w:hint="eastAsia"/>
          <w:sz w:val="22"/>
          <w:szCs w:val="22"/>
        </w:rPr>
        <w:t>脂質介質、細胞外囊泡和老化血細胞</w:t>
      </w:r>
    </w:p>
    <w:p w:rsidR="005F3D3A" w:rsidRDefault="005F3D3A">
      <w:pPr>
        <w:numPr>
          <w:ilvl w:val="2"/>
          <w:numId w:val="1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F79646"/>
          <w:sz w:val="22"/>
          <w:szCs w:val="22"/>
        </w:rPr>
        <w:t>透過第一次打擊，使白血球聚集於肺部血管。於第二次打擊時，造成嚴重發炎反應，使肺部微血管膜通透性上升</w:t>
      </w:r>
    </w:p>
    <w:p w:rsidR="005F3D3A" w:rsidRDefault="005F3D3A">
      <w:pPr>
        <w:numPr>
          <w:ilvl w:val="0"/>
          <w:numId w:val="1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lastRenderedPageBreak/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2019 Canadian Consensus Conference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85"/>
        <w:gridCol w:w="6421"/>
      </w:tblGrid>
      <w:tr w:rsidR="00000000">
        <w:trPr>
          <w:divId w:val="596717299"/>
        </w:trPr>
        <w:tc>
          <w:tcPr>
            <w:tcW w:w="14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67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596717299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Type 1 TRALI</w:t>
            </w:r>
          </w:p>
        </w:tc>
        <w:tc>
          <w:tcPr>
            <w:tcW w:w="69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numPr>
                <w:ilvl w:val="1"/>
                <w:numId w:val="2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小時內急性發作</w:t>
            </w:r>
          </w:p>
          <w:p w:rsidR="005F3D3A" w:rsidRDefault="005F3D3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低血氧（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PaO2/FiO2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或室內空氣下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SpO2 &lt; 90%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F3D3A" w:rsidRDefault="005F3D3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影像學檢查（胸部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X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光、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CT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或超音波）顯示雙側肺水腫</w:t>
            </w:r>
          </w:p>
          <w:p w:rsidR="005F3D3A" w:rsidRDefault="005F3D3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無左心房高壓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(LAH)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證據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(Non-cardiogenic)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，即使存在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LAH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也非低血氧的主要原因</w:t>
            </w:r>
          </w:p>
          <w:p w:rsidR="005F3D3A" w:rsidRDefault="005F3D3A">
            <w:pPr>
              <w:numPr>
                <w:ilvl w:val="1"/>
                <w:numId w:val="2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與其他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風險因素無時間相關性</w:t>
            </w:r>
          </w:p>
        </w:tc>
      </w:tr>
      <w:tr w:rsidR="00000000">
        <w:trPr>
          <w:divId w:val="596717299"/>
        </w:trPr>
        <w:tc>
          <w:tcPr>
            <w:tcW w:w="13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Type 2 </w:t>
            </w:r>
          </w:p>
          <w:p w:rsidR="005F3D3A" w:rsidRDefault="005F3D3A">
            <w:pPr>
              <w:pStyle w:val="Web"/>
              <w:spacing w:before="0" w:beforeAutospacing="0" w:after="0" w:afterAutospacing="0" w:line="30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</w:t>
            </w:r>
          </w:p>
        </w:tc>
        <w:tc>
          <w:tcPr>
            <w:tcW w:w="684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numPr>
                <w:ilvl w:val="1"/>
                <w:numId w:val="3"/>
              </w:numPr>
              <w:spacing w:line="300" w:lineRule="atLeast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符合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TRALI type 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的前四項臨床標準</w:t>
            </w:r>
          </w:p>
          <w:p w:rsidR="005F3D3A" w:rsidRDefault="005F3D3A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存在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風險因素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或輕度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P/F ratio : 200~300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5F3D3A" w:rsidRDefault="005F3D3A">
            <w:pPr>
              <w:numPr>
                <w:ilvl w:val="1"/>
                <w:numId w:val="3"/>
              </w:numPr>
              <w:spacing w:line="340" w:lineRule="atLeast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輸血前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小時內肺部狀態穩定</w:t>
            </w:r>
          </w:p>
        </w:tc>
      </w:tr>
    </w:tbl>
    <w:p w:rsidR="005F3D3A" w:rsidRDefault="005F3D3A">
      <w:pPr>
        <w:numPr>
          <w:ilvl w:val="0"/>
          <w:numId w:val="4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5F3D3A" w:rsidRDefault="005F3D3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停止輸送可疑血品</w:t>
      </w:r>
    </w:p>
    <w:p w:rsidR="005F3D3A" w:rsidRDefault="005F3D3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支持性治療，必要時使用機械通氣</w:t>
      </w:r>
      <w:r>
        <w:rPr>
          <w:rFonts w:ascii="微軟正黑體" w:eastAsia="微軟正黑體" w:hAnsi="微軟正黑體" w:cs="Calibri" w:hint="eastAsia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sz w:val="28"/>
          <w:szCs w:val="28"/>
        </w:rPr>
        <w:t>參考</w:t>
      </w: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治療</w:t>
      </w:r>
      <w:r>
        <w:rPr>
          <w:rFonts w:ascii="微軟正黑體" w:eastAsia="微軟正黑體" w:hAnsi="微軟正黑體" w:cs="Calibri" w:hint="eastAsia"/>
          <w:sz w:val="28"/>
          <w:szCs w:val="28"/>
        </w:rPr>
        <w:t>)</w:t>
      </w:r>
      <w:r>
        <w:rPr>
          <w:rFonts w:ascii="微軟正黑體" w:eastAsia="微軟正黑體" w:hAnsi="微軟正黑體" w:cs="Calibri" w:hint="eastAsia"/>
          <w:sz w:val="28"/>
          <w:szCs w:val="28"/>
        </w:rPr>
        <w:t>，並血液動力學穩定</w:t>
      </w:r>
    </w:p>
    <w:p w:rsidR="005F3D3A" w:rsidRDefault="005F3D3A">
      <w:pPr>
        <w:numPr>
          <w:ilvl w:val="1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不建議常規使用類固醇</w:t>
      </w:r>
      <w:r>
        <w:rPr>
          <w:rFonts w:ascii="微軟正黑體" w:eastAsia="微軟正黑體" w:hAnsi="微軟正黑體" w:cs="Calibri" w:hint="eastAsia"/>
          <w:sz w:val="28"/>
          <w:szCs w:val="28"/>
        </w:rPr>
        <w:t>，缺乏足夠臨床研究支持其效果</w:t>
      </w:r>
    </w:p>
    <w:p w:rsidR="005F3D3A" w:rsidRDefault="005F3D3A">
      <w:pPr>
        <w:pStyle w:val="Web"/>
        <w:spacing w:before="120" w:beforeAutospacing="0" w:after="120" w:afterAutospacing="0" w:line="360" w:lineRule="atLeast"/>
        <w:ind w:left="540"/>
        <w:rPr>
          <w:rFonts w:ascii="微軟正黑體" w:eastAsia="微軟正黑體" w:hAnsi="微軟正黑體" w:cs="Calibri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5F3D3A" w:rsidRDefault="005F3D3A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5F3D3A" w:rsidRDefault="005F3D3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大多數患者在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24-48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小時內會改善</w:t>
      </w:r>
    </w:p>
    <w:p w:rsidR="005F3D3A" w:rsidRDefault="005F3D3A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通常是自限性疾病</w:t>
      </w:r>
    </w:p>
    <w:p w:rsidR="005F3D3A" w:rsidRDefault="005F3D3A">
      <w:pPr>
        <w:numPr>
          <w:ilvl w:val="1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死亡率：</w:t>
      </w:r>
    </w:p>
    <w:p w:rsidR="005F3D3A" w:rsidRDefault="005F3D3A">
      <w:pPr>
        <w:numPr>
          <w:ilvl w:val="2"/>
          <w:numId w:val="5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重症患者的存活率約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53%</w:t>
      </w:r>
    </w:p>
    <w:p w:rsidR="005F3D3A" w:rsidRDefault="005F3D3A">
      <w:pPr>
        <w:numPr>
          <w:ilvl w:val="2"/>
          <w:numId w:val="5"/>
        </w:numPr>
        <w:spacing w:line="30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相較於一般急性肺損傷患者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(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存活率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83%)</w:t>
      </w:r>
      <w:r>
        <w:rPr>
          <w:rFonts w:ascii="微軟正黑體" w:eastAsia="微軟正黑體" w:hAnsi="微軟正黑體" w:cs="Calibri" w:hint="eastAsia"/>
          <w:color w:val="262626"/>
          <w:sz w:val="22"/>
          <w:szCs w:val="22"/>
        </w:rPr>
        <w:t>明顯較低</w:t>
      </w:r>
    </w:p>
    <w:p w:rsidR="005F3D3A" w:rsidRDefault="005F3D3A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預防策略</w:t>
      </w:r>
    </w:p>
    <w:p w:rsidR="005F3D3A" w:rsidRDefault="005F3D3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使用男性或未妊娠女性的血液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(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懷孕使產生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anti-HLA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抗體機會增加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)</w:t>
      </w:r>
    </w:p>
    <w:p w:rsidR="005F3D3A" w:rsidRDefault="005F3D3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使用洗滌且新鮮的血品</w:t>
      </w:r>
    </w:p>
    <w:p w:rsidR="005F3D3A" w:rsidRDefault="005F3D3A">
      <w:pPr>
        <w:numPr>
          <w:ilvl w:val="1"/>
          <w:numId w:val="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捐血者若有引起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TRALI</w:t>
      </w:r>
      <w:r>
        <w:rPr>
          <w:rFonts w:ascii="微軟正黑體" w:eastAsia="微軟正黑體" w:hAnsi="微軟正黑體" w:cs="Calibri" w:hint="eastAsia"/>
          <w:color w:val="262626"/>
          <w:sz w:val="28"/>
          <w:szCs w:val="28"/>
        </w:rPr>
        <w:t>的病例應通報</w:t>
      </w:r>
    </w:p>
    <w:p w:rsidR="005F3D3A" w:rsidRDefault="005F3D3A">
      <w:pPr>
        <w:numPr>
          <w:ilvl w:val="0"/>
          <w:numId w:val="5"/>
        </w:numPr>
        <w:spacing w:line="42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與</w:t>
      </w:r>
      <w:r>
        <w:rPr>
          <w:rFonts w:ascii="微軟正黑體" w:eastAsia="微軟正黑體" w:hAnsi="微軟正黑體" w:cs="Calibri" w:hint="eastAsia"/>
          <w:sz w:val="32"/>
          <w:szCs w:val="32"/>
        </w:rPr>
        <w:t>TACO(Transfusion-Associated Circulatory Overload)</w:t>
      </w:r>
      <w:r>
        <w:rPr>
          <w:rFonts w:ascii="微軟正黑體" w:eastAsia="微軟正黑體" w:hAnsi="微軟正黑體" w:cs="Calibri" w:hint="eastAsia"/>
          <w:sz w:val="32"/>
          <w:szCs w:val="32"/>
        </w:rPr>
        <w:t>比較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653"/>
        <w:gridCol w:w="3126"/>
        <w:gridCol w:w="2027"/>
      </w:tblGrid>
      <w:tr w:rsidR="00000000">
        <w:trPr>
          <w:divId w:val="51388825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特徵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TRALI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jc w:val="center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262626"/>
                <w:sz w:val="22"/>
                <w:szCs w:val="22"/>
              </w:rPr>
              <w:t>TACO</w:t>
            </w:r>
          </w:p>
        </w:tc>
      </w:tr>
      <w:tr w:rsidR="00000000">
        <w:trPr>
          <w:divId w:val="51388825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病理機制</w:t>
            </w:r>
          </w:p>
        </w:tc>
        <w:tc>
          <w:tcPr>
            <w:tcW w:w="33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抗體或非抗體介導的發炎反應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肺部微血管通透性增加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心源性肺水腫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體液過量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左心房壓力升高</w:t>
            </w:r>
          </w:p>
        </w:tc>
      </w:tr>
      <w:tr w:rsidR="00000000">
        <w:trPr>
          <w:divId w:val="51388825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臨床表現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輸血後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6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小時內發生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雙側肺浸潤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無左心房高壓證據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可能出現發燒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循環負荷過重表現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左心衰竭表現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血壓可能升高</w:t>
            </w:r>
          </w:p>
        </w:tc>
      </w:tr>
      <w:tr w:rsidR="00000000">
        <w:trPr>
          <w:divId w:val="513888258"/>
        </w:trPr>
        <w:tc>
          <w:tcPr>
            <w:tcW w:w="2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CXR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特徵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(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其實就是</w:t>
            </w:r>
          </w:p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non-cardiogenic vs </w:t>
            </w:r>
          </w:p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cardiogenic pulmonary </w:t>
            </w:r>
          </w:p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edema)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雙側對稱性浸潤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正常心臟大小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無胸腔積液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雙側浸潤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心臟擴大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肺門充血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可見胸腔積液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Kerley B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線</w:t>
            </w:r>
          </w:p>
        </w:tc>
      </w:tr>
      <w:tr w:rsidR="00000000">
        <w:trPr>
          <w:divId w:val="51388825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治療方式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支持性治療為主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維持氧氣供應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利尿劑無效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停止輸血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使用利尿劑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降低前負荷</w:t>
            </w:r>
          </w:p>
        </w:tc>
      </w:tr>
      <w:tr w:rsidR="00000000">
        <w:trPr>
          <w:divId w:val="51388825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預防策略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篩查高風險供血者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優先使用男性供血者血漿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避免多次妊娠女性血製品</w:t>
            </w:r>
          </w:p>
        </w:tc>
        <w:tc>
          <w:tcPr>
            <w:tcW w:w="201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控制輸血速度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監測輸血量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評估心功能狀態</w:t>
            </w:r>
          </w:p>
        </w:tc>
      </w:tr>
      <w:tr w:rsidR="00000000">
        <w:trPr>
          <w:divId w:val="513888258"/>
        </w:trPr>
        <w:tc>
          <w:tcPr>
            <w:tcW w:w="273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預後</w:t>
            </w:r>
          </w:p>
        </w:tc>
        <w:tc>
          <w:tcPr>
            <w:tcW w:w="33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24-48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小時內可能改善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重症患者存活率約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53%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通常為自限性</w:t>
            </w:r>
          </w:p>
        </w:tc>
        <w:tc>
          <w:tcPr>
            <w:tcW w:w="2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5F3D3A" w:rsidRDefault="005F3D3A">
            <w:pPr>
              <w:pStyle w:val="Web"/>
              <w:spacing w:before="0" w:beforeAutospacing="0" w:after="0" w:afterAutospacing="0" w:line="340" w:lineRule="atLeast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對治療反應較好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及時處理預後良好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•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262626"/>
                <w:sz w:val="22"/>
                <w:szCs w:val="22"/>
              </w:rPr>
              <w:t>取決於基礎心功能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</w:tr>
    </w:tbl>
    <w:p w:rsidR="005F3D3A" w:rsidRDefault="005F3D3A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4572000" cy="30480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F3D3A" w:rsidRDefault="005F3D3A">
      <w:pPr>
        <w:numPr>
          <w:ilvl w:val="0"/>
          <w:numId w:val="6"/>
        </w:numPr>
        <w:spacing w:before="120" w:after="12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Microsoft JhengHei Light" w:eastAsia="Microsoft JhengHei Light" w:hAnsi="Microsoft JhengHei Light" w:cs="Calibri" w:hint="eastAsia"/>
          <w:b/>
          <w:bCs/>
          <w:sz w:val="32"/>
          <w:szCs w:val="32"/>
        </w:rPr>
        <w:t>參考資料</w:t>
      </w:r>
    </w:p>
    <w:p w:rsidR="005F3D3A" w:rsidRDefault="005F3D3A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 xml:space="preserve">Semple JW, Rebetz J, Kapur R. Transfusion-associated </w:t>
      </w: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circulatory overload and transfusion-related acute lung injury. Blood. 2019 Apr 25;133(17):1840-1853. doi: 10.1182/blood-2018-10-860809</w:t>
      </w:r>
    </w:p>
    <w:p w:rsidR="005F3D3A" w:rsidRDefault="005F3D3A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Tung JP, Chiaretti S, Dean MM, Sultana AJ, Reade MC, Fung YL. Transfusion-related acute lung injury (TRALI): Potential pathways of development, strategies for prevention and treatment, and future research directions. Blood Rev. 2022 May;53:100926. doi: 10.1016/j.blre.2021.100926</w:t>
      </w:r>
    </w:p>
    <w:p w:rsidR="005F3D3A" w:rsidRDefault="005F3D3A">
      <w:pPr>
        <w:numPr>
          <w:ilvl w:val="1"/>
          <w:numId w:val="6"/>
        </w:numPr>
        <w:spacing w:line="340" w:lineRule="atLeast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212121"/>
          <w:sz w:val="22"/>
          <w:szCs w:val="22"/>
        </w:rPr>
        <w:t>Goel R, Tobian AAR, Shaz BH. Noninfectious transfusion-associated adverse events and their mitigation strategies. Blood. 2019 Apr 25;133(17):1831-1839. doi: 10.1182/blood-2018-10-833988</w:t>
      </w:r>
    </w:p>
    <w:p w:rsidR="005F3D3A" w:rsidRDefault="005F3D3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F3D3A" w:rsidRDefault="005F3D3A" w:rsidP="005F3D3A">
      <w:r>
        <w:separator/>
      </w:r>
    </w:p>
  </w:endnote>
  <w:endnote w:type="continuationSeparator" w:id="0">
    <w:p w:rsidR="005F3D3A" w:rsidRDefault="005F3D3A" w:rsidP="005F3D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F3D3A" w:rsidRDefault="005F3D3A" w:rsidP="005F3D3A">
      <w:r>
        <w:separator/>
      </w:r>
    </w:p>
  </w:footnote>
  <w:footnote w:type="continuationSeparator" w:id="0">
    <w:p w:rsidR="005F3D3A" w:rsidRDefault="005F3D3A" w:rsidP="005F3D3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55A55"/>
    <w:multiLevelType w:val="multilevel"/>
    <w:tmpl w:val="5BA89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813392"/>
    <w:multiLevelType w:val="multilevel"/>
    <w:tmpl w:val="42563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512E1D57"/>
    <w:multiLevelType w:val="multilevel"/>
    <w:tmpl w:val="AA5E7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C1411B"/>
    <w:multiLevelType w:val="multilevel"/>
    <w:tmpl w:val="B9E04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B463071"/>
    <w:multiLevelType w:val="multilevel"/>
    <w:tmpl w:val="5AB2F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154B26"/>
    <w:multiLevelType w:val="multilevel"/>
    <w:tmpl w:val="B5F4E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02132535">
    <w:abstractNumId w:val="5"/>
  </w:num>
  <w:num w:numId="2" w16cid:durableId="968050537">
    <w:abstractNumId w:val="0"/>
  </w:num>
  <w:num w:numId="3" w16cid:durableId="1785079675">
    <w:abstractNumId w:val="2"/>
  </w:num>
  <w:num w:numId="4" w16cid:durableId="1953779932">
    <w:abstractNumId w:val="1"/>
  </w:num>
  <w:num w:numId="5" w16cid:durableId="636646250">
    <w:abstractNumId w:val="3"/>
  </w:num>
  <w:num w:numId="6" w16cid:durableId="7553261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3D3A"/>
    <w:rsid w:val="005F3D3A"/>
    <w:rsid w:val="00B211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F55C57E-1ADA-4864-8908-29048D600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5F3D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5F3D3A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5F3D3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5F3D3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8882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1729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348</Words>
  <Characters>1987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