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3544" w:rsidRDefault="00F8354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高血脂</w:t>
      </w:r>
    </w:p>
    <w:p w:rsidR="00F83544" w:rsidRDefault="00F8354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F83544" w:rsidRDefault="00F8354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5:58 PM</w:t>
      </w:r>
    </w:p>
    <w:p w:rsidR="00F83544" w:rsidRDefault="00F8354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83544" w:rsidRDefault="00F83544">
      <w:pPr>
        <w:numPr>
          <w:ilvl w:val="0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83544" w:rsidRDefault="00F8354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血脂異常：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Total cholesterol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LDL-C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triglyceride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升高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HDL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83544" w:rsidRDefault="00F8354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是主要的致動脈粥狀硬化膽固醇，與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（動脈粥狀硬化性心血管疾病，如冠狀動脈疾病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、腦中風）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相關。</w:t>
      </w:r>
    </w:p>
    <w:p w:rsidR="00F83544" w:rsidRDefault="00F8354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F83544" w:rsidRDefault="00F83544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83544" w:rsidRDefault="00F83544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根據中華民國血脂及動脈硬化學會</w:t>
      </w:r>
      <w:r>
        <w:rPr>
          <w:rFonts w:ascii="微軟正黑體" w:eastAsia="微軟正黑體" w:hAnsi="微軟正黑體" w:cs="Calibri" w:hint="eastAsia"/>
          <w:sz w:val="28"/>
          <w:szCs w:val="28"/>
        </w:rPr>
        <w:t>2022</w:t>
      </w:r>
      <w:r>
        <w:rPr>
          <w:rFonts w:ascii="微軟正黑體" w:eastAsia="微軟正黑體" w:hAnsi="微軟正黑體" w:cs="Calibri" w:hint="eastAsia"/>
          <w:sz w:val="28"/>
          <w:szCs w:val="28"/>
        </w:rPr>
        <w:t>年指引：</w:t>
      </w:r>
    </w:p>
    <w:p w:rsidR="00F83544" w:rsidRDefault="00F8354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高血脂症在台灣的流行病學資料顯示，隨著生活方式的改變以及人口老化，心血管疾病的風險逐年上升。在成人中，約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以上的人群存在某種形式的高血脂（例如：高總膽固醇、高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HDL-C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或高三酸甘油酯），並且這一比例隨著年齡的增長而上升。</w:t>
      </w:r>
    </w:p>
    <w:p w:rsidR="00F83544" w:rsidRDefault="00F8354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男性通常在較年輕的年齡段出現高血脂問題，而女性則多見於更年期後，這是由於女性在更年期後，隨著雌激素水平下降，對心血管的保護作用減弱，導致膽固醇水平的升高。</w:t>
      </w:r>
    </w:p>
    <w:p w:rsidR="00F83544" w:rsidRDefault="00F8354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高血脂與多種心血管疾病密切相關，包括冠狀動脈疾病（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Artery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）、外周動脈疾病（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Artery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）、缺血性中風（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Ischemic Stroke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）等。</w:t>
      </w:r>
    </w:p>
    <w:p w:rsidR="00F83544" w:rsidRDefault="00F8354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研究顯示，患有高血脂的個體，其心血管事件的風險大大增加，且對高風險群體（如糖尿病、吸煙者、高血壓者）的影響尤為顯著。</w:t>
      </w:r>
    </w:p>
    <w:p w:rsidR="00F83544" w:rsidRDefault="00F8354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83544" w:rsidRDefault="00F83544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Lipoprotein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類別與功能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68"/>
        <w:gridCol w:w="1642"/>
        <w:gridCol w:w="1908"/>
        <w:gridCol w:w="1788"/>
      </w:tblGrid>
      <w:tr w:rsidR="00000000">
        <w:trPr>
          <w:divId w:val="504712641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Lipoprotein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主要成分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關鍵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Apoprotein</w:t>
            </w:r>
          </w:p>
        </w:tc>
      </w:tr>
      <w:tr w:rsidR="00000000">
        <w:trPr>
          <w:divId w:val="504712641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Chylomicrons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90%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攜帶飲食脂肪（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）從腸道到肝臟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ApoB-48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ApoC-II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504712641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VLDL (Very-Low-Density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肝臟合成，運輸內源性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到周邊組織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ApoC-II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504712641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IDL (Intermediate-Density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代謝中間產物，可轉換為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504712641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(Low-Density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Cholesterol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運輸膽固醇至周邊組織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</w:p>
        </w:tc>
      </w:tr>
      <w:tr w:rsidR="00000000">
        <w:trPr>
          <w:divId w:val="504712641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 (High-Density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反向膽固醇運輸，將膽固醇帶回肝臟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ApoA-I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ApoA-II</w:t>
            </w:r>
          </w:p>
        </w:tc>
      </w:tr>
    </w:tbl>
    <w:p w:rsidR="00F83544" w:rsidRDefault="00F83544">
      <w:pPr>
        <w:pStyle w:val="3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83544" w:rsidRDefault="00F83544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83544" w:rsidRDefault="00F83544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動脈粥樣硬化：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會積聚於血管壁內</w:t>
      </w:r>
      <w:r>
        <w:rPr>
          <w:rFonts w:ascii="微軟正黑體" w:eastAsia="微軟正黑體" w:hAnsi="微軟正黑體" w:cs="Calibri" w:hint="eastAsia"/>
          <w:sz w:val="28"/>
          <w:szCs w:val="28"/>
        </w:rPr>
        <w:t>，形成動脈粥樣硬化斑塊，進一步引發血管狹窄或閉塞，影響血流，增加心血管事件風險（心肌梗死、缺血性中風）。</w:t>
      </w:r>
    </w:p>
    <w:p w:rsidR="00F83544" w:rsidRDefault="00F83544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低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：低密度脂蛋白膽固醇（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）具有反向膽固醇運輸作用，幫助清除血管內的膽固醇。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水平低時，會加重心血管風險。</w:t>
      </w:r>
    </w:p>
    <w:p w:rsidR="00F83544" w:rsidRDefault="00F83544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高三酸甘油酯（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）：高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與心血管疾病風險相關，尤其是與動脈粥樣硬化密切關聯。高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還可能引發急性胰臟炎。</w:t>
      </w:r>
    </w:p>
    <w:p w:rsidR="00F83544" w:rsidRDefault="00F8354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83544" w:rsidRDefault="00F83544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</w:t>
      </w:r>
    </w:p>
    <w:p w:rsidR="00F83544" w:rsidRDefault="00F83544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Primary</w:t>
      </w:r>
      <w:r>
        <w:rPr>
          <w:rFonts w:ascii="微軟正黑體" w:eastAsia="微軟正黑體" w:hAnsi="微軟正黑體" w:cs="Calibri" w:hint="eastAsia"/>
          <w:sz w:val="28"/>
          <w:szCs w:val="28"/>
        </w:rPr>
        <w:t>（原發性，遺傳性）</w:t>
      </w:r>
    </w:p>
    <w:p w:rsidR="00F83544" w:rsidRDefault="00F83544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 combined hypercholesterolemia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（家族性混合型高膽固醇血症）</w:t>
      </w:r>
    </w:p>
    <w:p w:rsidR="00F83544" w:rsidRDefault="00F83544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 hypertriglyceridemia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（家族性高三酸甘油酯血症）</w:t>
      </w:r>
    </w:p>
    <w:p w:rsidR="00F83544" w:rsidRDefault="00F83544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Secondary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（繼發性）</w:t>
      </w:r>
    </w:p>
    <w:p w:rsidR="00F83544" w:rsidRDefault="00F83544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代謝性疾病：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（糖尿病）、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hypothyroidism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（甲狀腺功能低下）</w:t>
      </w:r>
    </w:p>
    <w:p w:rsidR="00F83544" w:rsidRDefault="00F83544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肝腎疾病：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Cholestatic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liver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（膽汁鬱積性肝病）、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nephrotic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（腎病症候群）、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renal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（慢性腎臟病）</w:t>
      </w:r>
    </w:p>
    <w:p w:rsidR="00F83544" w:rsidRDefault="00F83544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生活習慣：肥胖、吸菸、過量飲酒</w:t>
      </w:r>
    </w:p>
    <w:p w:rsidR="00F83544" w:rsidRDefault="00F83544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藥物：</w:t>
      </w:r>
    </w:p>
    <w:p w:rsidR="00F83544" w:rsidRDefault="00F83544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Thiazide diuretics</w:t>
      </w:r>
    </w:p>
    <w:p w:rsidR="00F83544" w:rsidRDefault="00F83544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</w:p>
    <w:p w:rsidR="00F83544" w:rsidRDefault="00F83544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口服避孕藥</w:t>
      </w:r>
    </w:p>
    <w:p w:rsidR="00F83544" w:rsidRDefault="00F83544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Clozapine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（抗精神病藥</w:t>
      </w:r>
    </w:p>
    <w:p w:rsidR="00F83544" w:rsidRDefault="00F83544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病史與理學檢查（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History/PE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83544" w:rsidRDefault="00F83544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大多數患者無明顯症狀</w:t>
      </w:r>
    </w:p>
    <w:p w:rsidR="00F83544" w:rsidRDefault="00F83544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嚴重高脂血症可能有體徵</w:t>
      </w:r>
    </w:p>
    <w:p w:rsidR="00F83544" w:rsidRDefault="00F83544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Xanthomata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（黃瘤）：</w:t>
      </w:r>
    </w:p>
    <w:p w:rsidR="00F83544" w:rsidRDefault="00F83544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Eruptive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（爆發性黃瘤）：瘙癢性結節</w:t>
      </w:r>
    </w:p>
    <w:p w:rsidR="00F83544" w:rsidRDefault="00F83544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Tuberous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（結節性黃瘤）：肘部、膝部結節</w:t>
      </w:r>
    </w:p>
    <w:p w:rsidR="00F83544" w:rsidRDefault="00F83544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Palmar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（掌紋黃瘤）：掌紋橘色條紋</w:t>
      </w:r>
    </w:p>
    <w:p w:rsidR="00F83544" w:rsidRDefault="00F83544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Xanthelasma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（眼瞼黃斑瘤）：眼周黃色脂肪沉積</w:t>
      </w:r>
    </w:p>
    <w:p w:rsidR="00F83544" w:rsidRDefault="00F83544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Lipemia retinalis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（乳糜血症性視網膜病變）：視網膜血管呈乳白色</w:t>
      </w:r>
    </w:p>
    <w:p w:rsidR="00F83544" w:rsidRDefault="00F83544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Corneal arcus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（角膜弧）：角膜基質脂質沉積</w:t>
      </w:r>
    </w:p>
    <w:p w:rsidR="00F83544" w:rsidRDefault="00F83544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嚴重高三酸甘油酯血症（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&gt;500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）可能導致急性胰臟炎（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pancreatitis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83544" w:rsidRDefault="00F83544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可能有家族性高脂血症（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familial hyperlipidemia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）病史</w:t>
      </w:r>
    </w:p>
    <w:p w:rsidR="00F83544" w:rsidRDefault="00F83544">
      <w:pPr>
        <w:numPr>
          <w:ilvl w:val="0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繼發性高脂血症常見病因</w:t>
      </w:r>
    </w:p>
    <w:p w:rsidR="00F83544" w:rsidRDefault="00F83544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Cushing syndrome</w:t>
      </w:r>
    </w:p>
    <w:p w:rsidR="00F83544" w:rsidRDefault="00F83544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Hypothyroidism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（甲狀腺功能低下）</w:t>
      </w:r>
    </w:p>
    <w:p w:rsidR="00F83544" w:rsidRDefault="00F83544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Nephrotic syndrome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（腎病症候群）</w:t>
      </w:r>
    </w:p>
    <w:p w:rsidR="00F83544" w:rsidRDefault="00F83544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Cholestasis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（膽汁鬱積）</w:t>
      </w:r>
    </w:p>
    <w:p w:rsidR="00F83544" w:rsidRDefault="00F83544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83544" w:rsidRDefault="00F83544">
      <w:pPr>
        <w:numPr>
          <w:ilvl w:val="0"/>
          <w:numId w:val="7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篩檢建議</w:t>
      </w:r>
    </w:p>
    <w:p w:rsidR="00F83544" w:rsidRDefault="00F83544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高血脂篩檢建議（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Dyslipidemia Screening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83544" w:rsidRDefault="00F83544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依據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2023 ACC/AHA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2022 ESC/EAS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2022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台灣動脈硬化學會（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）指南，高血脂的篩檢應考量年齡、危險因子、家族病史，篩檢方法主要以空腹或非空腹血脂檢測（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Lipid Profile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為主。</w:t>
      </w:r>
    </w:p>
    <w:p w:rsidR="00F83544" w:rsidRDefault="00F83544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83544" w:rsidRDefault="00F83544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一般成人族群篩檢建議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3"/>
        <w:gridCol w:w="6393"/>
      </w:tblGrid>
      <w:tr w:rsidR="00000000">
        <w:trPr>
          <w:divId w:val="1059136901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族群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篩檢建議</w:t>
            </w:r>
          </w:p>
        </w:tc>
      </w:tr>
      <w:tr w:rsidR="00000000">
        <w:trPr>
          <w:divId w:val="1059136901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20-39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歲成人</w:t>
            </w:r>
          </w:p>
        </w:tc>
        <w:tc>
          <w:tcPr>
            <w:tcW w:w="9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有心血管危險因子者（如糖尿病、肥胖、吸菸、高血壓、家族史），應每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年檢測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次。</w:t>
            </w:r>
          </w:p>
        </w:tc>
      </w:tr>
      <w:tr w:rsidR="00000000">
        <w:trPr>
          <w:divId w:val="1059136901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40-75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歲成人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所有人皆應篩檢，至少每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4-6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次，若為高風險族群（如糖尿病或心血管疾病）應每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1-2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年檢測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次。</w:t>
            </w:r>
          </w:p>
        </w:tc>
      </w:tr>
      <w:tr w:rsidR="00000000">
        <w:trPr>
          <w:divId w:val="1059136901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 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歲老年人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仍應持續監測，但應根據個人健康狀況與餘命決定是否積極治療。</w:t>
            </w:r>
          </w:p>
        </w:tc>
      </w:tr>
    </w:tbl>
    <w:p w:rsidR="00F83544" w:rsidRDefault="00F83544">
      <w:pPr>
        <w:pStyle w:val="2"/>
        <w:spacing w:before="0" w:beforeAutospacing="0" w:after="0" w:afterAutospacing="0"/>
        <w:ind w:left="540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F83544" w:rsidRDefault="00F83544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高風險族群的篩檢建議</w:t>
      </w:r>
    </w:p>
    <w:p w:rsidR="00F83544" w:rsidRDefault="00F83544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以下高風險族群應每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1-2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年檢測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次，必要時可每年追蹤：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p w:rsidR="00F83544" w:rsidRDefault="00F83544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家族性高膽固醇血症（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）家族史（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LDL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190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或早發心血管病史）</w:t>
      </w:r>
    </w:p>
    <w:p w:rsidR="00F83544" w:rsidRDefault="00F83544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Diabetes Mellitus, 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3544" w:rsidRDefault="00F83544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Kidney Disease, CKD, eGFR &lt; 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3544" w:rsidRDefault="00F83544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動脈粥樣硬化性心血管疾病（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）病史</w:t>
      </w:r>
    </w:p>
    <w:p w:rsidR="00F83544" w:rsidRDefault="00F83544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3544" w:rsidRDefault="00F83544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肥胖（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BMI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3544" w:rsidRDefault="00F83544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吸菸者</w:t>
      </w:r>
    </w:p>
    <w:p w:rsidR="00F83544" w:rsidRDefault="00F83544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LDL-C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190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3544" w:rsidRDefault="00F83544">
      <w:pPr>
        <w:numPr>
          <w:ilvl w:val="0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83544" w:rsidRDefault="00F83544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首選檢查：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Lipid profile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（血脂分析）</w:t>
      </w:r>
    </w:p>
    <w:p w:rsidR="00F83544" w:rsidRDefault="00F83544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Total cholesterol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F83544" w:rsidRDefault="00F83544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LDL-C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F83544" w:rsidRDefault="00F83544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Triglycerides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F83544" w:rsidRDefault="00F83544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HDL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↓</w:t>
      </w:r>
    </w:p>
    <w:p w:rsidR="00F83544" w:rsidRDefault="00F83544">
      <w:pPr>
        <w:numPr>
          <w:ilvl w:val="0"/>
          <w:numId w:val="10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診斷標準：</w:t>
      </w:r>
    </w:p>
    <w:p w:rsidR="00F83544" w:rsidRDefault="00F83544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總膽固醇（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Total Cholesterol, TC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200 mg/dL</w:t>
      </w:r>
    </w:p>
    <w:p w:rsidR="00F83544" w:rsidRDefault="00F83544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低密度脂蛋白（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130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（建議控制在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 100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，對於高風險者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 70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83544" w:rsidRDefault="00F83544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高密度脂蛋白（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&lt; 40 mg/dL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（男性）或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&lt; 50 mg/dL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（女性）</w:t>
      </w:r>
    </w:p>
    <w:p w:rsidR="00F83544" w:rsidRDefault="00F83544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三酸甘油酯（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Triglycerides, TG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150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（嚴重高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TG &gt; 500 mg/dL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會增加胰臟炎風險）</w:t>
      </w:r>
    </w:p>
    <w:p w:rsidR="00F83544" w:rsidRDefault="00F8354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83544" w:rsidRDefault="00F83544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根據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2022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年台灣動脈硬化學會（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TAS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）指南，針對動脈粥樣硬化性心血管疾病（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）的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目標值如下：</w:t>
      </w:r>
    </w:p>
    <w:p w:rsidR="00F83544" w:rsidRDefault="00F83544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目標值依據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風險分層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1"/>
        <w:gridCol w:w="4061"/>
        <w:gridCol w:w="2114"/>
      </w:tblGrid>
      <w:tr w:rsidR="00000000">
        <w:trPr>
          <w:divId w:val="90329728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風險等級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LDL-C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目標值</w:t>
            </w:r>
          </w:p>
        </w:tc>
      </w:tr>
      <w:tr w:rsidR="00000000">
        <w:trPr>
          <w:divId w:val="90329728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Very High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已確診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ASCVD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（如心肌梗塞、腦中風、周邊動脈疾病），或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靶器官損害（如微量白蛋白尿）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55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1.4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且降幅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</w:t>
            </w:r>
          </w:p>
        </w:tc>
      </w:tr>
      <w:tr w:rsidR="00000000">
        <w:trPr>
          <w:divId w:val="90329728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High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糖尿病（無靶器官損害）、慢性腎病（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 stage 3-4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 20%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70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1.8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且降幅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</w:t>
            </w:r>
          </w:p>
        </w:tc>
      </w:tr>
      <w:tr w:rsidR="00000000">
        <w:trPr>
          <w:divId w:val="90329728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Moderate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個以上心血管危險因子（高血壓、吸菸、家族史等），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10-20%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2.6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90329728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Low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無主要心血管危險因子或僅有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個危險因子，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3.4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F83544" w:rsidRDefault="00F8354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83544" w:rsidRDefault="00F83544">
      <w:pPr>
        <w:numPr>
          <w:ilvl w:val="0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</w:p>
    <w:p w:rsidR="00F83544" w:rsidRDefault="00F83544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治療主要分為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生活方式調整（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Lifestyle Modification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）與藥物治療（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Pharmacologic Therapy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83544" w:rsidRDefault="00F83544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生活方式調整（適用所有患者）：</w:t>
      </w:r>
    </w:p>
    <w:p w:rsidR="00F83544" w:rsidRDefault="00F83544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低脂飲食（減少紅肉攝取，增加膳食纖維）</w:t>
      </w:r>
    </w:p>
    <w:p w:rsidR="00F83544" w:rsidRDefault="00F83544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規律有氧運動</w:t>
      </w:r>
    </w:p>
    <w:p w:rsidR="00F83544" w:rsidRDefault="00F83544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減重</w:t>
      </w:r>
    </w:p>
    <w:p w:rsidR="00F83544" w:rsidRDefault="00F83544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藥物治療指引（依據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American College of Cardiology/American Heart Association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83544" w:rsidRDefault="00F83544">
      <w:pPr>
        <w:numPr>
          <w:ilvl w:val="2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（他汀類）為首選藥物</w:t>
      </w:r>
    </w:p>
    <w:p w:rsidR="00F83544" w:rsidRDefault="00F83544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高強度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LDL-C &gt;50%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F83544" w:rsidRDefault="00F83544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Atorvastatin 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 mg</w:t>
      </w:r>
    </w:p>
    <w:p w:rsidR="00F83544" w:rsidRDefault="00F83544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Rosuvastatin 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40 mg</w:t>
      </w:r>
    </w:p>
    <w:p w:rsidR="00F83544" w:rsidRDefault="00F83544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中等強度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LDL-C 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83544" w:rsidRDefault="00F83544">
      <w:pPr>
        <w:numPr>
          <w:ilvl w:val="2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高三酸甘油酯血症治療</w:t>
      </w:r>
    </w:p>
    <w:p w:rsidR="00F83544" w:rsidRDefault="00F83544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初始治療：生活方式調整、治療繼發性病因（如糖尿病、慢性腎病）</w:t>
      </w:r>
    </w:p>
    <w:p w:rsidR="00F83544" w:rsidRDefault="00F83544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ASCVD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7.5%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statins</w:t>
      </w:r>
    </w:p>
    <w:p w:rsidR="00F83544" w:rsidRDefault="00F83544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預防胰臟炎（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triglycerides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1000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Fibrate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（貝特類藥物）</w:t>
      </w:r>
    </w:p>
    <w:p w:rsidR="00F83544" w:rsidRDefault="00F83544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83544" w:rsidRDefault="00F83544">
      <w:pPr>
        <w:numPr>
          <w:ilvl w:val="0"/>
          <w:numId w:val="1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Dyslipidemia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0"/>
        <w:gridCol w:w="1827"/>
        <w:gridCol w:w="1542"/>
        <w:gridCol w:w="1286"/>
        <w:gridCol w:w="2147"/>
        <w:gridCol w:w="1701"/>
      </w:tblGrid>
      <w:tr w:rsidR="00000000">
        <w:trPr>
          <w:divId w:val="1362047371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作用機轉</w:t>
            </w:r>
          </w:p>
        </w:tc>
        <w:tc>
          <w:tcPr>
            <w:tcW w:w="1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考點</w:t>
            </w:r>
          </w:p>
        </w:tc>
      </w:tr>
      <w:tr w:rsidR="00000000">
        <w:trPr>
          <w:divId w:val="1362047371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Atorvastatin, Rosuvastatin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HMG-CoA reductase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，降低肝臟膽固醇合成，增加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表現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肝毒性、肌肉病變（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CK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首選藥物，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 + Fibrate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肌肉毒性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1362047371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Bile Acid Sequestrants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（膽酸螯合劑）</w:t>
            </w:r>
          </w:p>
        </w:tc>
        <w:tc>
          <w:tcPr>
            <w:tcW w:w="2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Cholestyramine, Colesevelam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與膽酸結合，促使膽固醇轉化為膽酸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適合年輕患者或孕婦的高膽固醇血症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胃腸不適（便秘、腹脹）、可能影響脂溶性維生素吸收</w:t>
            </w:r>
          </w:p>
        </w:tc>
        <w:tc>
          <w:tcPr>
            <w:tcW w:w="1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LDL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輕微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HDL</w:t>
            </w:r>
          </w:p>
        </w:tc>
      </w:tr>
      <w:tr w:rsidR="00000000">
        <w:trPr>
          <w:divId w:val="1362047371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Fibrates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Gemfibrozil, Fenofibrate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PPAR-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LPL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活性，降低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產生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高三酸甘油酯（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&gt;1000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），預防胰臟炎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膽結石（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cholelithiasis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）、肌肉毒性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TG &gt;1000 mg/dL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Fibrate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 + Gemfibrozil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肌肉毒性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HDL </w:t>
            </w:r>
          </w:p>
        </w:tc>
      </w:tr>
      <w:tr w:rsidR="00000000">
        <w:trPr>
          <w:divId w:val="1362047371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Niacin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Niacin (Vit B3)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提高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，輕度高膽固醇血症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潮紅（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flushing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PGE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介導）、高尿酸血症（痛風）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減少潮紅反應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HDL</w:t>
            </w:r>
          </w:p>
        </w:tc>
      </w:tr>
      <w:tr w:rsidR="00000000">
        <w:trPr>
          <w:divId w:val="1362047371"/>
        </w:trPr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Ezetimibe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（膽固醇吸收抑制劑）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Ezetimibe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抑制腸道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NPC1L1 transporter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，減少膽固醇吸收</w:t>
            </w:r>
          </w:p>
        </w:tc>
        <w:tc>
          <w:tcPr>
            <w:tcW w:w="1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（可與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合併）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腹瀉、肝功能異常（罕見）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1362047371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PCSK9 inhibitors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Alirocumab, Evolocumab</w:t>
            </w:r>
          </w:p>
        </w:tc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受體表現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），無法耐受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注射部位反應，罕見肝功能異常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高風險患者（如家族性高膽固醇血症）適用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1362047371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Omega-3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脂肪酸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Fish oil, Icosapent ethyl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合成，降低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中等程度高三酸甘油酯血症（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200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胃腸不適、魚腥味回流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，但效果不如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fibrates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</w:tc>
      </w:tr>
      <w:tr w:rsidR="00000000">
        <w:trPr>
          <w:divId w:val="1362047371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MTP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Microsomal Triglyceride Transfer 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）抑制劑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Lomitapide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microsomal triglyceride transfer 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MTP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產生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家族性高膽固醇血症，適合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抑制劑效果不佳的患者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噁心、腹瀉、肝內脂肪堆積（脂肪肝）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口服劑型，但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GI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副作用明顯，需低脂飲食以減少腸胃不適。需監測肝酶（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ALT/AST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），避免嚴重肝毒性。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62047371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ApoB-100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Mipomersen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ApoB-100 mRNA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家族性高膽固醇血症，適合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抑制劑效果不佳的患者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注射部位反應、類流感症狀、肝內脂肪堆積（脂肪肝）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皮下注射，常見注射部位反應，但主要問題是肝脂肪增加，可能影響肝功能。需監測肝酶（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ALT/AST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），避免嚴重肝毒性。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  <w:p w:rsidR="00F83544" w:rsidRDefault="00F8354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F83544" w:rsidRDefault="00F83544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Statins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仍為第一線藥物，但若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LDL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降幅不足，可加用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Ezetimibe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PCSK9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抑制劑。</w:t>
      </w:r>
    </w:p>
    <w:p w:rsidR="00F83544" w:rsidRDefault="00F83544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TG &gt; 500 mg/dL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時，優先使用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Fibrates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Omega-3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，避免胰臟炎風險。</w:t>
      </w:r>
    </w:p>
    <w:p w:rsidR="00F83544" w:rsidRDefault="00F8354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83544" w:rsidRDefault="00F83544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依風險等級的治療策略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29"/>
        <w:gridCol w:w="3677"/>
      </w:tblGrid>
      <w:tr w:rsidR="00000000">
        <w:trPr>
          <w:divId w:val="367680272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風險族群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367680272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&lt; 130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生活方式調整</w:t>
            </w:r>
          </w:p>
        </w:tc>
      </w:tr>
      <w:tr w:rsidR="00000000">
        <w:trPr>
          <w:divId w:val="367680272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100-129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生活方式調整，考慮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</w:t>
            </w:r>
          </w:p>
        </w:tc>
      </w:tr>
      <w:tr w:rsidR="00000000">
        <w:trPr>
          <w:divId w:val="367680272"/>
        </w:trPr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7.5%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第一線，若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不達標可加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Ezetimibe</w:t>
            </w:r>
          </w:p>
        </w:tc>
      </w:tr>
      <w:tr w:rsidR="00000000">
        <w:trPr>
          <w:divId w:val="367680272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70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，已有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強效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+ Ezetimibe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</w:tr>
    </w:tbl>
    <w:p w:rsidR="00F83544" w:rsidRDefault="00F83544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83544" w:rsidRDefault="00F83544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83544" w:rsidRDefault="00F83544">
      <w:pPr>
        <w:numPr>
          <w:ilvl w:val="0"/>
          <w:numId w:val="1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F83544" w:rsidRDefault="00F83544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Dyslipidemia</w:t>
      </w:r>
    </w:p>
    <w:p w:rsidR="00F83544" w:rsidRDefault="00F83544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https://www.tas.org.tw/upload/files/1-s2_0-S0929664622001036-main.pdf</w:t>
        </w:r>
      </w:hyperlink>
    </w:p>
    <w:p w:rsidR="00F83544" w:rsidRDefault="00F83544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https://www.tas.org.tw/upload/files/1-s2_0-S0929664622002157-main%20(1).pdf</w:t>
        </w:r>
      </w:hyperlink>
    </w:p>
    <w:p w:rsidR="00F83544" w:rsidRDefault="00F8354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83544" w:rsidRDefault="00F8354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建議：</w:t>
      </w:r>
    </w:p>
    <w:p w:rsidR="00F83544" w:rsidRDefault="00F83544">
      <w:pPr>
        <w:pStyle w:val="Web"/>
        <w:spacing w:before="0" w:beforeAutospacing="0" w:after="0" w:afterAutospacing="0"/>
        <w:rPr>
          <w:rFonts w:ascii="Calibri" w:hAnsi="Calibri" w:cs="Calibri" w:hint="eastAsia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F83544" w:rsidRDefault="00F83544">
      <w:pPr>
        <w:pStyle w:val="Web"/>
        <w:spacing w:before="0" w:beforeAutospacing="0" w:after="0" w:afterAutospacing="0"/>
        <w:rPr>
          <w:rFonts w:ascii="Calibri" w:hAnsi="Calibri" w:cs="Calibri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F83544" w:rsidRDefault="00F8354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請問現行台灣關於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高危險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中危險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以及最近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12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個月有過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Stroke&amp;stenosis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活著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AF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患者的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LDL/TG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的下降要求量是多少？</w:t>
      </w:r>
    </w:p>
    <w:p w:rsidR="00F83544" w:rsidRDefault="00F83544">
      <w:pPr>
        <w:pStyle w:val="Web"/>
        <w:spacing w:before="0" w:beforeAutospacing="0" w:after="0" w:afterAutospacing="0"/>
        <w:rPr>
          <w:rFonts w:ascii="Calibri" w:hAnsi="Calibri" w:cs="Calibri" w:hint="eastAsia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F83544" w:rsidRDefault="00F83544">
      <w:pPr>
        <w:pStyle w:val="Web"/>
        <w:spacing w:before="0" w:beforeAutospacing="0" w:after="0" w:afterAutospacing="0"/>
        <w:rPr>
          <w:rFonts w:ascii="Calibri" w:hAnsi="Calibri" w:cs="Calibri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F83544" w:rsidRDefault="00F83544">
      <w:pPr>
        <w:pStyle w:val="3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歐洲心臟學會（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ESC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/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歐洲動脈硬化學會（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EAS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 xml:space="preserve">2019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年脂質異常治療指引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709"/>
        <w:gridCol w:w="1322"/>
        <w:gridCol w:w="1255"/>
      </w:tblGrid>
      <w:tr w:rsidR="00000000">
        <w:trPr>
          <w:divId w:val="1423801001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風險分類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LDL-C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目標值</w:t>
            </w:r>
          </w:p>
        </w:tc>
        <w:tc>
          <w:tcPr>
            <w:tcW w:w="14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相對降低幅度</w:t>
            </w:r>
          </w:p>
        </w:tc>
      </w:tr>
      <w:tr w:rsidR="00000000">
        <w:trPr>
          <w:divId w:val="1423801001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非常高風險（如：已知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ASCVD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、糖尿病合併器官損害、嚴重慢性腎病）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55 mg/dL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≥ 50% </w:t>
            </w:r>
            <w:r>
              <w:rPr>
                <w:rFonts w:ascii="Calibri" w:hAnsi="Calibri" w:cs="Calibri"/>
                <w:sz w:val="22"/>
                <w:szCs w:val="22"/>
              </w:rPr>
              <w:t>降低</w:t>
            </w:r>
          </w:p>
        </w:tc>
      </w:tr>
      <w:tr w:rsidR="00000000">
        <w:trPr>
          <w:divId w:val="1423801001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高風險（如：顯著升高的單一危險因子）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70 mg/dL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≥ 50% </w:t>
            </w:r>
            <w:r>
              <w:rPr>
                <w:rFonts w:ascii="Calibri" w:hAnsi="Calibri" w:cs="Calibri"/>
                <w:sz w:val="22"/>
                <w:szCs w:val="22"/>
              </w:rPr>
              <w:t>降低</w:t>
            </w:r>
          </w:p>
        </w:tc>
      </w:tr>
      <w:tr w:rsidR="00000000">
        <w:trPr>
          <w:divId w:val="1423801001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100 mg/dL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000000">
        <w:trPr>
          <w:divId w:val="1423801001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116 mg/dL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3544" w:rsidRDefault="00F8354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:rsidR="00F83544" w:rsidRDefault="00F83544">
      <w:pPr>
        <w:pStyle w:val="Web"/>
        <w:spacing w:beforeAutospacing="0" w:afterAutospacing="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TG 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控制目標</w:t>
      </w:r>
      <w:r>
        <w:rPr>
          <w:rFonts w:ascii="Calibri" w:hAnsi="Calibri" w:cs="Calibri"/>
          <w:color w:val="000000"/>
          <w:sz w:val="32"/>
          <w:szCs w:val="32"/>
        </w:rPr>
        <w:t>：</w:t>
      </w:r>
      <w:r>
        <w:rPr>
          <w:rFonts w:ascii="Calibri" w:hAnsi="Calibri" w:cs="Calibri"/>
          <w:color w:val="000000"/>
          <w:sz w:val="32"/>
          <w:szCs w:val="32"/>
        </w:rPr>
        <w:t xml:space="preserve">ESC/EAS </w:t>
      </w:r>
      <w:r>
        <w:rPr>
          <w:rFonts w:ascii="Calibri" w:hAnsi="Calibri" w:cs="Calibri"/>
          <w:color w:val="000000"/>
          <w:sz w:val="32"/>
          <w:szCs w:val="32"/>
        </w:rPr>
        <w:t>指南建議將</w:t>
      </w:r>
      <w:r>
        <w:rPr>
          <w:rFonts w:ascii="Calibri" w:hAnsi="Calibri" w:cs="Calibri"/>
          <w:color w:val="000000"/>
          <w:sz w:val="32"/>
          <w:szCs w:val="32"/>
        </w:rPr>
        <w:t xml:space="preserve"> TG </w:t>
      </w:r>
      <w:r>
        <w:rPr>
          <w:rFonts w:ascii="Calibri" w:hAnsi="Calibri" w:cs="Calibri"/>
          <w:color w:val="000000"/>
          <w:sz w:val="32"/>
          <w:szCs w:val="32"/>
        </w:rPr>
        <w:t>水平控制在</w:t>
      </w:r>
      <w:r>
        <w:rPr>
          <w:rFonts w:ascii="Calibri" w:hAnsi="Calibri" w:cs="Calibri"/>
          <w:color w:val="000000"/>
          <w:sz w:val="32"/>
          <w:szCs w:val="32"/>
        </w:rPr>
        <w:t xml:space="preserve"> &lt; 150 mg/dL</w:t>
      </w:r>
      <w:r>
        <w:rPr>
          <w:rFonts w:ascii="Calibri" w:hAnsi="Calibri" w:cs="Calibri"/>
          <w:color w:val="000000"/>
          <w:sz w:val="32"/>
          <w:szCs w:val="32"/>
        </w:rPr>
        <w:t>，特別是對於高風險患者。</w:t>
      </w:r>
    </w:p>
    <w:p w:rsidR="00F83544" w:rsidRDefault="00F8354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那台灣呢？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3544" w:rsidRDefault="00F83544" w:rsidP="00F83544">
      <w:r>
        <w:separator/>
      </w:r>
    </w:p>
  </w:endnote>
  <w:endnote w:type="continuationSeparator" w:id="0">
    <w:p w:rsidR="00F83544" w:rsidRDefault="00F83544" w:rsidP="00F83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3544" w:rsidRDefault="00F83544" w:rsidP="00F83544">
      <w:r>
        <w:separator/>
      </w:r>
    </w:p>
  </w:footnote>
  <w:footnote w:type="continuationSeparator" w:id="0">
    <w:p w:rsidR="00F83544" w:rsidRDefault="00F83544" w:rsidP="00F835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E78"/>
    <w:multiLevelType w:val="multilevel"/>
    <w:tmpl w:val="20AE1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0637D"/>
    <w:multiLevelType w:val="multilevel"/>
    <w:tmpl w:val="E744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C1021"/>
    <w:multiLevelType w:val="multilevel"/>
    <w:tmpl w:val="DC6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297EA0"/>
    <w:multiLevelType w:val="multilevel"/>
    <w:tmpl w:val="1A2C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D6469E"/>
    <w:multiLevelType w:val="multilevel"/>
    <w:tmpl w:val="B70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0D3BE4"/>
    <w:multiLevelType w:val="multilevel"/>
    <w:tmpl w:val="8414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917EFA"/>
    <w:multiLevelType w:val="multilevel"/>
    <w:tmpl w:val="078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3A70F3"/>
    <w:multiLevelType w:val="multilevel"/>
    <w:tmpl w:val="AED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902320"/>
    <w:multiLevelType w:val="multilevel"/>
    <w:tmpl w:val="51FA4F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11D296A"/>
    <w:multiLevelType w:val="multilevel"/>
    <w:tmpl w:val="0DBC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4217FC"/>
    <w:multiLevelType w:val="multilevel"/>
    <w:tmpl w:val="B76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E27461"/>
    <w:multiLevelType w:val="multilevel"/>
    <w:tmpl w:val="EBB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BC0B2C"/>
    <w:multiLevelType w:val="multilevel"/>
    <w:tmpl w:val="7970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B55981"/>
    <w:multiLevelType w:val="multilevel"/>
    <w:tmpl w:val="08E8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F07D16"/>
    <w:multiLevelType w:val="multilevel"/>
    <w:tmpl w:val="376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8C65AE"/>
    <w:multiLevelType w:val="multilevel"/>
    <w:tmpl w:val="3CEE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5941C0"/>
    <w:multiLevelType w:val="multilevel"/>
    <w:tmpl w:val="651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0551522">
    <w:abstractNumId w:val="5"/>
  </w:num>
  <w:num w:numId="2" w16cid:durableId="625503370">
    <w:abstractNumId w:val="2"/>
  </w:num>
  <w:num w:numId="3" w16cid:durableId="1639409446">
    <w:abstractNumId w:val="6"/>
  </w:num>
  <w:num w:numId="4" w16cid:durableId="598804800">
    <w:abstractNumId w:val="4"/>
  </w:num>
  <w:num w:numId="5" w16cid:durableId="1574463446">
    <w:abstractNumId w:val="3"/>
  </w:num>
  <w:num w:numId="6" w16cid:durableId="383411123">
    <w:abstractNumId w:val="13"/>
  </w:num>
  <w:num w:numId="7" w16cid:durableId="2131899626">
    <w:abstractNumId w:val="1"/>
  </w:num>
  <w:num w:numId="8" w16cid:durableId="2072346294">
    <w:abstractNumId w:val="9"/>
  </w:num>
  <w:num w:numId="9" w16cid:durableId="1812402428">
    <w:abstractNumId w:val="16"/>
  </w:num>
  <w:num w:numId="10" w16cid:durableId="1637762310">
    <w:abstractNumId w:val="12"/>
  </w:num>
  <w:num w:numId="11" w16cid:durableId="1604073808">
    <w:abstractNumId w:val="11"/>
  </w:num>
  <w:num w:numId="12" w16cid:durableId="925501594">
    <w:abstractNumId w:val="14"/>
  </w:num>
  <w:num w:numId="13" w16cid:durableId="1198158612">
    <w:abstractNumId w:val="7"/>
  </w:num>
  <w:num w:numId="14" w16cid:durableId="1524519716">
    <w:abstractNumId w:val="8"/>
  </w:num>
  <w:num w:numId="15" w16cid:durableId="1863087813">
    <w:abstractNumId w:val="10"/>
  </w:num>
  <w:num w:numId="16" w16cid:durableId="768741848">
    <w:abstractNumId w:val="0"/>
    <w:lvlOverride w:ilvl="0">
      <w:startOverride w:val="1"/>
    </w:lvlOverride>
  </w:num>
  <w:num w:numId="17" w16cid:durableId="1561939760">
    <w:abstractNumId w:val="15"/>
    <w:lvlOverride w:ilvl="0">
      <w:startOverride w:val="2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44"/>
    <w:rsid w:val="00A411FB"/>
    <w:rsid w:val="00F8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631359-F541-4FFE-BB7D-58CD6E22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835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8354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835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8354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80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7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6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7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1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s.org.tw/upload/files/1-s2_0-S0929664622002157-main%20(1)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s.org.tw/upload/files/1-s2_0-S0929664622001036-mai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2025-07-27T09:10:00Z</dcterms:created>
  <dcterms:modified xsi:type="dcterms:W3CDTF">2025-07-27T09:10:00Z</dcterms:modified>
</cp:coreProperties>
</file>