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5CDD" w:rsidRDefault="002A5CDD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2E75B5"/>
          <w:sz w:val="40"/>
          <w:szCs w:val="40"/>
        </w:rPr>
        <w:t>體液、電解質及營養</w:t>
      </w:r>
    </w:p>
    <w:p w:rsidR="002A5CDD" w:rsidRDefault="002A5CD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A5CDD" w:rsidRDefault="002A5CD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5CDD" w:rsidRDefault="002A5CDD" w:rsidP="002A5CDD">
      <w:r>
        <w:separator/>
      </w:r>
    </w:p>
  </w:endnote>
  <w:endnote w:type="continuationSeparator" w:id="0">
    <w:p w:rsidR="002A5CDD" w:rsidRDefault="002A5CDD" w:rsidP="002A5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5CDD" w:rsidRDefault="002A5CDD" w:rsidP="002A5CDD">
      <w:r>
        <w:separator/>
      </w:r>
    </w:p>
  </w:footnote>
  <w:footnote w:type="continuationSeparator" w:id="0">
    <w:p w:rsidR="002A5CDD" w:rsidRDefault="002A5CDD" w:rsidP="002A5C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DD"/>
    <w:rsid w:val="002A5CDD"/>
    <w:rsid w:val="003B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6852803-E758-491A-A1E5-50DCF97B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5C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A5CD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A5C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A5CD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