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7DE0" w:rsidRDefault="005E7DE0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TRALI</w:t>
      </w:r>
    </w:p>
    <w:p w:rsidR="005E7DE0" w:rsidRDefault="005E7DE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5E7DE0" w:rsidRDefault="005E7DE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5E7DE0" w:rsidRDefault="005E7DE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7DE0" w:rsidRDefault="005E7DE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E7DE0" w:rsidRDefault="005E7DE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E7DE0" w:rsidRDefault="005E7DE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E7DE0" w:rsidRDefault="005E7DE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E7DE0" w:rsidRDefault="005E7DE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E7DE0" w:rsidRDefault="005E7DE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E7DE0" w:rsidRDefault="005E7DE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5E7DE0" w:rsidRDefault="005E7DE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Transfusion-Related 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Lung Injury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TRALI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是一臨床症候群，屬於非心源性肺水腫，定義為輸注含血漿的血液製品後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，出現急性肺損傷（</w:t>
      </w:r>
      <w:r>
        <w:rPr>
          <w:rFonts w:ascii="微軟正黑體" w:eastAsia="微軟正黑體" w:hAnsi="微軟正黑體" w:cs="Calibri" w:hint="eastAsia"/>
          <w:sz w:val="28"/>
          <w:szCs w:val="28"/>
        </w:rPr>
        <w:t>ALI</w:t>
      </w:r>
      <w:r>
        <w:rPr>
          <w:rFonts w:ascii="微軟正黑體" w:eastAsia="微軟正黑體" w:hAnsi="微軟正黑體" w:cs="Calibri" w:hint="eastAsia"/>
          <w:sz w:val="28"/>
          <w:szCs w:val="28"/>
        </w:rPr>
        <w:t>）的症狀。特徵包括：</w:t>
      </w:r>
    </w:p>
    <w:p w:rsidR="005E7DE0" w:rsidRDefault="005E7DE0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急性呼吸困難</w:t>
      </w:r>
    </w:p>
    <w:p w:rsidR="005E7DE0" w:rsidRDefault="005E7DE0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低氧血症</w:t>
      </w:r>
    </w:p>
    <w:p w:rsidR="005E7DE0" w:rsidRDefault="005E7DE0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光顯示雙側肺部浸潤</w:t>
      </w:r>
    </w:p>
    <w:p w:rsidR="005E7DE0" w:rsidRDefault="005E7DE0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5E7DE0" w:rsidRDefault="005E7DE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是因輸血引起的瀰漫性肺損傷所導致，其致病原因可用二次打擊模型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(Two-hit Model) </w:t>
      </w:r>
      <w:r>
        <w:rPr>
          <w:rFonts w:ascii="微軟正黑體" w:eastAsia="微軟正黑體" w:hAnsi="微軟正黑體" w:cs="Calibri" w:hint="eastAsia"/>
          <w:sz w:val="28"/>
          <w:szCs w:val="28"/>
        </w:rPr>
        <w:t>來解釋：</w:t>
      </w:r>
    </w:p>
    <w:p w:rsidR="005E7DE0" w:rsidRDefault="005E7DE0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第一次打擊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(Baseline)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</w:p>
    <w:p w:rsidR="005E7DE0" w:rsidRDefault="005E7DE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慢性酒精濫用、休克、肝臟手術、吸煙、機械通氣時較高的氣道壓力、血管內體液正平衡、低</w:t>
      </w:r>
      <w:r>
        <w:rPr>
          <w:rFonts w:ascii="微軟正黑體" w:eastAsia="微軟正黑體" w:hAnsi="微軟正黑體" w:cs="Calibri" w:hint="eastAsia"/>
          <w:sz w:val="22"/>
          <w:szCs w:val="22"/>
        </w:rPr>
        <w:t>IL-10</w:t>
      </w:r>
      <w:r>
        <w:rPr>
          <w:rFonts w:ascii="微軟正黑體" w:eastAsia="微軟正黑體" w:hAnsi="微軟正黑體" w:cs="Calibri" w:hint="eastAsia"/>
          <w:sz w:val="22"/>
          <w:szCs w:val="22"/>
        </w:rPr>
        <w:t>水平，以及全身性發炎。</w:t>
      </w:r>
    </w:p>
    <w:p w:rsidR="005E7DE0" w:rsidRDefault="005E7DE0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輸血相關因素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5E7DE0" w:rsidRDefault="005E7DE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抗白血球抗體（約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的病例）</w:t>
      </w:r>
      <w:r>
        <w:rPr>
          <w:rFonts w:ascii="微軟正黑體" w:eastAsia="微軟正黑體" w:hAnsi="微軟正黑體" w:cs="Calibri" w:hint="eastAsia"/>
          <w:sz w:val="22"/>
          <w:szCs w:val="22"/>
        </w:rPr>
        <w:t>: Anti-HLA class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Anti-HLA class II</w:t>
      </w:r>
      <w:r>
        <w:rPr>
          <w:rFonts w:ascii="微軟正黑體" w:eastAsia="微軟正黑體" w:hAnsi="微軟正黑體" w:cs="Calibri" w:hint="eastAsia"/>
          <w:sz w:val="22"/>
          <w:szCs w:val="22"/>
        </w:rPr>
        <w:t>以及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Anti-HNA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</w:t>
      </w:r>
    </w:p>
    <w:p w:rsidR="005E7DE0" w:rsidRDefault="005E7DE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非抗體因素（約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20%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: </w:t>
      </w:r>
      <w:r>
        <w:rPr>
          <w:rFonts w:ascii="微軟正黑體" w:eastAsia="微軟正黑體" w:hAnsi="微軟正黑體" w:cs="Calibri" w:hint="eastAsia"/>
          <w:sz w:val="22"/>
          <w:szCs w:val="22"/>
        </w:rPr>
        <w:t>脂質介質、細胞外囊泡和老化血細胞</w:t>
      </w:r>
    </w:p>
    <w:p w:rsidR="005E7DE0" w:rsidRDefault="005E7DE0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透過第一次打擊，使白血球聚集於肺部血管。於第二次打擊時，造成嚴重發炎反應，使肺部微血管膜通透性上升</w:t>
      </w:r>
    </w:p>
    <w:p w:rsidR="005E7DE0" w:rsidRDefault="005E7DE0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6421"/>
      </w:tblGrid>
      <w:tr w:rsidR="00000000">
        <w:trPr>
          <w:divId w:val="364526172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6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364526172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TRALI</w:t>
            </w:r>
          </w:p>
        </w:tc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numPr>
                <w:ilvl w:val="1"/>
                <w:numId w:val="2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小時內急性發作</w:t>
            </w:r>
          </w:p>
          <w:p w:rsidR="005E7DE0" w:rsidRDefault="005E7DE0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PaO2/FiO2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或室內空氣下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SpO2 &lt; 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5E7DE0" w:rsidRDefault="005E7DE0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影像學檢查（胸部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或超音波）顯示雙側肺水腫</w:t>
            </w:r>
          </w:p>
          <w:p w:rsidR="005E7DE0" w:rsidRDefault="005E7DE0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無左心房高壓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(LAH)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證據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(Non-cardiogenic)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，即使存在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也非低血氧的主要原因</w:t>
            </w:r>
          </w:p>
          <w:p w:rsidR="005E7DE0" w:rsidRDefault="005E7DE0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與其他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風險因素無時間相關性</w:t>
            </w:r>
          </w:p>
        </w:tc>
      </w:tr>
      <w:tr w:rsidR="00000000">
        <w:trPr>
          <w:divId w:val="364526172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2 </w:t>
            </w:r>
          </w:p>
          <w:p w:rsidR="005E7DE0" w:rsidRDefault="005E7DE0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</w:t>
            </w:r>
          </w:p>
        </w:tc>
        <w:tc>
          <w:tcPr>
            <w:tcW w:w="6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numPr>
                <w:ilvl w:val="1"/>
                <w:numId w:val="3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符合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 type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的前四項臨床標準</w:t>
            </w:r>
          </w:p>
          <w:p w:rsidR="005E7DE0" w:rsidRDefault="005E7DE0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存在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或輕度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: 200~300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5E7DE0" w:rsidRDefault="005E7DE0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小時內肺部狀態穩定</w:t>
            </w:r>
          </w:p>
        </w:tc>
      </w:tr>
    </w:tbl>
    <w:p w:rsidR="005E7DE0" w:rsidRDefault="005E7DE0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5E7DE0" w:rsidRDefault="005E7DE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停止輸送可疑血品</w:t>
      </w:r>
    </w:p>
    <w:p w:rsidR="005E7DE0" w:rsidRDefault="005E7DE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支持性治療，必要時使用機械通氣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，並血液動力學穩定</w:t>
      </w:r>
    </w:p>
    <w:p w:rsidR="005E7DE0" w:rsidRDefault="005E7DE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不建議常規使用類固醇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，缺乏足夠臨床研究支持其效果</w:t>
      </w:r>
    </w:p>
    <w:p w:rsidR="005E7DE0" w:rsidRDefault="005E7DE0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5E7DE0" w:rsidRDefault="005E7DE0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5E7DE0" w:rsidRDefault="005E7DE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大多數患者在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24-48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小時內會改善</w:t>
      </w:r>
    </w:p>
    <w:p w:rsidR="005E7DE0" w:rsidRDefault="005E7DE0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通常是自限性疾病</w:t>
      </w:r>
    </w:p>
    <w:p w:rsidR="005E7DE0" w:rsidRDefault="005E7DE0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死亡率：</w:t>
      </w:r>
    </w:p>
    <w:p w:rsidR="005E7DE0" w:rsidRDefault="005E7DE0">
      <w:pPr>
        <w:numPr>
          <w:ilvl w:val="2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重症患者的存活率約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53%</w:t>
      </w:r>
    </w:p>
    <w:p w:rsidR="005E7DE0" w:rsidRDefault="005E7DE0">
      <w:pPr>
        <w:numPr>
          <w:ilvl w:val="2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相較於一般急性肺損傷患者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存活率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83%)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明顯較低</w:t>
      </w:r>
    </w:p>
    <w:p w:rsidR="005E7DE0" w:rsidRDefault="005E7DE0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預防策略</w:t>
      </w:r>
    </w:p>
    <w:p w:rsidR="005E7DE0" w:rsidRDefault="005E7DE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使用男性或未妊娠女性的血液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懷孕使產生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anti-HLA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抗體機會增加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)</w:t>
      </w:r>
    </w:p>
    <w:p w:rsidR="005E7DE0" w:rsidRDefault="005E7DE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使用洗滌且新鮮的血品</w:t>
      </w:r>
    </w:p>
    <w:p w:rsidR="005E7DE0" w:rsidRDefault="005E7DE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捐血者若有引起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的病例應通報</w:t>
      </w:r>
    </w:p>
    <w:p w:rsidR="005E7DE0" w:rsidRDefault="005E7DE0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sz w:val="32"/>
          <w:szCs w:val="32"/>
        </w:rPr>
        <w:t>TACO(Transfusion-Associated Circulatory Overload)</w:t>
      </w:r>
      <w:r>
        <w:rPr>
          <w:rFonts w:ascii="微軟正黑體" w:eastAsia="微軟正黑體" w:hAnsi="微軟正黑體" w:cs="Calibri" w:hint="eastAsia"/>
          <w:sz w:val="32"/>
          <w:szCs w:val="32"/>
        </w:rPr>
        <w:t>比較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3"/>
        <w:gridCol w:w="3126"/>
        <w:gridCol w:w="2027"/>
      </w:tblGrid>
      <w:tr w:rsidR="00000000">
        <w:trPr>
          <w:divId w:val="68205369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TRALI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TACO</w:t>
            </w:r>
          </w:p>
        </w:tc>
      </w:tr>
      <w:tr w:rsidR="00000000">
        <w:trPr>
          <w:divId w:val="68205369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病理機制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抗體或非抗體介導的發炎反應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肺部微血管通透性增加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體液過量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左心房壓力升高</w:t>
            </w:r>
          </w:p>
        </w:tc>
      </w:tr>
      <w:tr w:rsidR="00000000">
        <w:trPr>
          <w:divId w:val="68205369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小時內發生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雙側肺浸潤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無左心房高壓證據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可能出現發燒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循環負荷過重表現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左心衰竭表現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血壓可能升高</w:t>
            </w:r>
          </w:p>
        </w:tc>
      </w:tr>
      <w:tr w:rsidR="00000000">
        <w:trPr>
          <w:divId w:val="682053699"/>
        </w:trPr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其實就是</w:t>
            </w:r>
          </w:p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non-cardiogenic vs </w:t>
            </w:r>
          </w:p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cardiogenic pulmonary </w:t>
            </w:r>
          </w:p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edema)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雙側對稱性浸潤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正常心臟大小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無胸腔積液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心臟擴大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可見胸腔積液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Kerley B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線</w:t>
            </w:r>
          </w:p>
        </w:tc>
      </w:tr>
      <w:tr w:rsidR="00000000">
        <w:trPr>
          <w:divId w:val="68205369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治療方式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支持性治療為主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維持氧氣供應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利尿劑無效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停止輸血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使用利尿劑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降低前負荷</w:t>
            </w:r>
          </w:p>
        </w:tc>
      </w:tr>
      <w:tr w:rsidR="00000000">
        <w:trPr>
          <w:divId w:val="68205369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預防策略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篩查高風險供血者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優先使用男性供血者血漿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避免多次妊娠女性血製品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控制輸血速度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監測輸血量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評估心功能狀態</w:t>
            </w:r>
          </w:p>
        </w:tc>
      </w:tr>
      <w:tr w:rsidR="00000000">
        <w:trPr>
          <w:divId w:val="68205369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預後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24-48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小時內可能改善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重症患者存活率約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53%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通常為自限性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7DE0" w:rsidRDefault="005E7DE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對治療反應較好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及時處理預後良好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取決於基礎心功能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</w:tbl>
    <w:p w:rsidR="005E7DE0" w:rsidRDefault="005E7DE0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048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DE0" w:rsidRDefault="005E7DE0">
      <w:pPr>
        <w:numPr>
          <w:ilvl w:val="0"/>
          <w:numId w:val="6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5E7DE0" w:rsidRDefault="005E7DE0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 xml:space="preserve">Semple JW, Rebetz J, Kapur R. Transfusion-associated </w:t>
      </w: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circulatory overload and transfusion-related acute lung injury. Blood. 2019 Apr 25;133(17):1840-1853. doi: 10.1182/blood-2018-10-860809</w:t>
      </w:r>
    </w:p>
    <w:p w:rsidR="005E7DE0" w:rsidRDefault="005E7DE0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Tung JP, Chiaretti S, Dean MM, Sultana AJ, Reade MC, Fung YL. Transfusion-related acute lung injury (TRALI): Potential pathways of development, strategies for prevention and treatment, and future research directions. Blood Rev. 2022 May;53:100926. doi: 10.1016/j.blre.2021.100926</w:t>
      </w:r>
    </w:p>
    <w:p w:rsidR="005E7DE0" w:rsidRDefault="005E7DE0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Goel R, Tobian AAR, Shaz BH. Noninfectious transfusion-associated adverse events and their mitigation strategies. Blood. 2019 Apr 25;133(17):1831-1839. doi: 10.1182/blood-2018-10-833988</w:t>
      </w:r>
    </w:p>
    <w:p w:rsidR="005E7DE0" w:rsidRDefault="005E7DE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DE0" w:rsidRDefault="005E7DE0" w:rsidP="005E7DE0">
      <w:r>
        <w:separator/>
      </w:r>
    </w:p>
  </w:endnote>
  <w:endnote w:type="continuationSeparator" w:id="0">
    <w:p w:rsidR="005E7DE0" w:rsidRDefault="005E7DE0" w:rsidP="005E7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DE0" w:rsidRDefault="005E7DE0" w:rsidP="005E7DE0">
      <w:r>
        <w:separator/>
      </w:r>
    </w:p>
  </w:footnote>
  <w:footnote w:type="continuationSeparator" w:id="0">
    <w:p w:rsidR="005E7DE0" w:rsidRDefault="005E7DE0" w:rsidP="005E7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2711"/>
    <w:multiLevelType w:val="multilevel"/>
    <w:tmpl w:val="EE4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473664"/>
    <w:multiLevelType w:val="multilevel"/>
    <w:tmpl w:val="C8D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53D24"/>
    <w:multiLevelType w:val="multilevel"/>
    <w:tmpl w:val="86F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E01B5"/>
    <w:multiLevelType w:val="multilevel"/>
    <w:tmpl w:val="32F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8A3DFB"/>
    <w:multiLevelType w:val="multilevel"/>
    <w:tmpl w:val="F29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C955C3"/>
    <w:multiLevelType w:val="multilevel"/>
    <w:tmpl w:val="6CE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802743">
    <w:abstractNumId w:val="5"/>
  </w:num>
  <w:num w:numId="2" w16cid:durableId="1210916046">
    <w:abstractNumId w:val="1"/>
  </w:num>
  <w:num w:numId="3" w16cid:durableId="1999574155">
    <w:abstractNumId w:val="2"/>
  </w:num>
  <w:num w:numId="4" w16cid:durableId="710157891">
    <w:abstractNumId w:val="4"/>
  </w:num>
  <w:num w:numId="5" w16cid:durableId="248462452">
    <w:abstractNumId w:val="0"/>
  </w:num>
  <w:num w:numId="6" w16cid:durableId="1797094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E0"/>
    <w:rsid w:val="005E7DE0"/>
    <w:rsid w:val="00D3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89F30F-EC4C-4A28-86F9-47632D55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E7D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7DE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E7D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7DE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6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