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C2ECD" w:rsidRDefault="007C2ECD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Achalasia</w:t>
      </w:r>
    </w:p>
    <w:p w:rsidR="007C2ECD" w:rsidRDefault="007C2ECD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Thursday, June 5, 2025</w:t>
      </w:r>
    </w:p>
    <w:p w:rsidR="007C2ECD" w:rsidRDefault="007C2ECD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11:19 PM</w:t>
      </w:r>
    </w:p>
    <w:p w:rsidR="007C2ECD" w:rsidRDefault="007C2ECD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C2ECD" w:rsidRDefault="007C2ECD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7C2ECD" w:rsidRDefault="007C2ECD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7C2ECD" w:rsidRDefault="007C2EC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7C2ECD" w:rsidRDefault="007C2EC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7C2ECD" w:rsidRDefault="007C2EC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7C2ECD" w:rsidRDefault="007C2EC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7C2ECD" w:rsidRDefault="007C2EC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C2ECD" w:rsidRDefault="007C2ECD">
      <w:pPr>
        <w:numPr>
          <w:ilvl w:val="0"/>
          <w:numId w:val="2"/>
        </w:numPr>
        <w:spacing w:line="42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定義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 xml:space="preserve"> </w:t>
      </w:r>
    </w:p>
    <w:p w:rsidR="007C2ECD" w:rsidRDefault="007C2ECD">
      <w:pPr>
        <w:numPr>
          <w:ilvl w:val="1"/>
          <w:numId w:val="2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賁門弛緩不能（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Achalasia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sz w:val="28"/>
          <w:szCs w:val="28"/>
        </w:rPr>
        <w:t>一種罕見的食道運動障礙疾病，特徵為食道肌間神經叢的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神經節細胞缺失，導致食道蠕動消失和下食道括約肌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Lower esophageal sphincter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LES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）鬆弛功能受損</w:t>
      </w:r>
    </w:p>
    <w:p w:rsidR="007C2ECD" w:rsidRDefault="007C2ECD">
      <w:pPr>
        <w:numPr>
          <w:ilvl w:val="0"/>
          <w:numId w:val="2"/>
        </w:numPr>
        <w:spacing w:line="42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病生理機轉</w:t>
      </w:r>
    </w:p>
    <w:p w:rsidR="007C2ECD" w:rsidRDefault="007C2ECD">
      <w:pPr>
        <w:numPr>
          <w:ilvl w:val="1"/>
          <w:numId w:val="2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病因</w:t>
      </w:r>
    </w:p>
    <w:p w:rsidR="007C2ECD" w:rsidRDefault="007C2ECD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自體免疫反應導致</w:t>
      </w:r>
      <w:r>
        <w:rPr>
          <w:rFonts w:ascii="微軟正黑體" w:eastAsia="微軟正黑體" w:hAnsi="微軟正黑體" w:cs="Calibri" w:hint="eastAsia"/>
          <w:color w:val="131314"/>
          <w:sz w:val="21"/>
          <w:szCs w:val="21"/>
        </w:rPr>
        <w:t>食道肌間神經叢中</w:t>
      </w:r>
      <w:r>
        <w:rPr>
          <w:rFonts w:ascii="微軟正黑體" w:eastAsia="微軟正黑體" w:hAnsi="微軟正黑體" w:cs="Calibri" w:hint="eastAsia"/>
          <w:color w:val="C00000"/>
          <w:sz w:val="21"/>
          <w:szCs w:val="21"/>
        </w:rPr>
        <w:t>抑制性</w:t>
      </w:r>
      <w:r>
        <w:rPr>
          <w:rFonts w:ascii="微軟正黑體" w:eastAsia="微軟正黑體" w:hAnsi="微軟正黑體" w:cs="Calibri" w:hint="eastAsia"/>
          <w:color w:val="131314"/>
          <w:sz w:val="21"/>
          <w:szCs w:val="21"/>
        </w:rPr>
        <w:t>神經節細胞的喪失</w:t>
      </w:r>
    </w:p>
    <w:p w:rsidR="007C2ECD" w:rsidRDefault="007C2ECD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1"/>
          <w:szCs w:val="21"/>
        </w:rPr>
        <w:t>歸因於潛伏的</w:t>
      </w:r>
      <w:r>
        <w:rPr>
          <w:rFonts w:ascii="微軟正黑體" w:eastAsia="微軟正黑體" w:hAnsi="微軟正黑體" w:cs="Calibri" w:hint="eastAsia"/>
          <w:color w:val="C00000"/>
          <w:sz w:val="21"/>
          <w:szCs w:val="21"/>
        </w:rPr>
        <w:t>人類單純皰疹病毒</w:t>
      </w:r>
      <w:r>
        <w:rPr>
          <w:rFonts w:ascii="微軟正黑體" w:eastAsia="微軟正黑體" w:hAnsi="微軟正黑體" w:cs="Calibri" w:hint="eastAsia"/>
          <w:color w:val="C00000"/>
          <w:sz w:val="21"/>
          <w:szCs w:val="21"/>
        </w:rPr>
        <w:t>1</w:t>
      </w:r>
      <w:r>
        <w:rPr>
          <w:rFonts w:ascii="微軟正黑體" w:eastAsia="微軟正黑體" w:hAnsi="微軟正黑體" w:cs="Calibri" w:hint="eastAsia"/>
          <w:color w:val="C00000"/>
          <w:sz w:val="21"/>
          <w:szCs w:val="21"/>
        </w:rPr>
        <w:t>型感染</w:t>
      </w:r>
      <w:r>
        <w:rPr>
          <w:rFonts w:ascii="微軟正黑體" w:eastAsia="微軟正黑體" w:hAnsi="微軟正黑體" w:cs="Calibri" w:hint="eastAsia"/>
          <w:color w:val="131314"/>
          <w:sz w:val="21"/>
          <w:szCs w:val="21"/>
        </w:rPr>
        <w:t>與遺傳易感性結合</w:t>
      </w:r>
    </w:p>
    <w:p w:rsidR="007C2ECD" w:rsidRDefault="007C2ECD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1"/>
          <w:szCs w:val="21"/>
        </w:rPr>
        <w:t>由於抑制性神經元的缺失，導致吞嚥時下食道括約肌（</w:t>
      </w:r>
      <w:r>
        <w:rPr>
          <w:rFonts w:ascii="微軟正黑體" w:eastAsia="微軟正黑體" w:hAnsi="微軟正黑體" w:cs="Calibri" w:hint="eastAsia"/>
          <w:color w:val="131314"/>
          <w:sz w:val="21"/>
          <w:szCs w:val="21"/>
        </w:rPr>
        <w:t>LES</w:t>
      </w:r>
      <w:r>
        <w:rPr>
          <w:rFonts w:ascii="微軟正黑體" w:eastAsia="微軟正黑體" w:hAnsi="微軟正黑體" w:cs="Calibri" w:hint="eastAsia"/>
          <w:color w:val="131314"/>
          <w:sz w:val="21"/>
          <w:szCs w:val="21"/>
        </w:rPr>
        <w:t>）鬆弛受損以及蠕動消失</w:t>
      </w:r>
    </w:p>
    <w:p w:rsidR="007C2ECD" w:rsidRDefault="007C2ECD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1"/>
          <w:szCs w:val="21"/>
        </w:rPr>
        <w:t>長期賁門弛緩不能的特徵是食道進行性擴張和乙狀結腸樣畸形，伴隨</w:t>
      </w:r>
      <w:r>
        <w:rPr>
          <w:rFonts w:ascii="微軟正黑體" w:eastAsia="微軟正黑體" w:hAnsi="微軟正黑體" w:cs="Calibri" w:hint="eastAsia"/>
          <w:color w:val="131314"/>
          <w:sz w:val="21"/>
          <w:szCs w:val="21"/>
        </w:rPr>
        <w:t>LES</w:t>
      </w:r>
      <w:r>
        <w:rPr>
          <w:rFonts w:ascii="微軟正黑體" w:eastAsia="微軟正黑體" w:hAnsi="微軟正黑體" w:cs="Calibri" w:hint="eastAsia"/>
          <w:color w:val="131314"/>
          <w:sz w:val="21"/>
          <w:szCs w:val="21"/>
        </w:rPr>
        <w:t>肥大</w:t>
      </w:r>
    </w:p>
    <w:p w:rsidR="007C2ECD" w:rsidRDefault="007C2ECD">
      <w:pPr>
        <w:numPr>
          <w:ilvl w:val="0"/>
          <w:numId w:val="2"/>
        </w:numPr>
        <w:spacing w:line="42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症狀</w:t>
      </w:r>
    </w:p>
    <w:p w:rsidR="007C2ECD" w:rsidRDefault="007C2ECD">
      <w:pPr>
        <w:numPr>
          <w:ilvl w:val="1"/>
          <w:numId w:val="2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典型症狀</w:t>
      </w:r>
    </w:p>
    <w:p w:rsidR="007C2ECD" w:rsidRDefault="007C2ECD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吞嚥困難（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Dysphagia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）：對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固體和液體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食物都有吞嚥困難</w:t>
      </w:r>
    </w:p>
    <w:p w:rsidR="007C2ECD" w:rsidRDefault="007C2ECD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反流（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Regurgitation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）：當食物、液體和分泌物滯留在擴張的食道中時發生</w:t>
      </w:r>
    </w:p>
    <w:p w:rsidR="007C2ECD" w:rsidRDefault="007C2ECD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胸痛：可能在病程早期出現。患者描述為擠壓、壓迫感的胸骨後疼痛，有時放射到頸部、手臂、下顎和背</w:t>
      </w:r>
    </w:p>
    <w:p w:rsidR="007C2ECD" w:rsidRDefault="007C2ECD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體重減輕</w:t>
      </w:r>
    </w:p>
    <w:p w:rsidR="007C2ECD" w:rsidRDefault="007C2ECD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胃灼熱</w:t>
      </w:r>
    </w:p>
    <w:p w:rsidR="007C2ECD" w:rsidRDefault="007C2ECD">
      <w:pPr>
        <w:numPr>
          <w:ilvl w:val="1"/>
          <w:numId w:val="2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lastRenderedPageBreak/>
        <w:t>長期症狀</w:t>
      </w:r>
    </w:p>
    <w:p w:rsidR="007C2ECD" w:rsidRDefault="007C2ECD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慢性逆流</w:t>
      </w:r>
    </w:p>
    <w:p w:rsidR="007C2ECD" w:rsidRDefault="007C2ECD">
      <w:pPr>
        <w:numPr>
          <w:ilvl w:val="3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吸入性肺炎</w:t>
      </w:r>
    </w:p>
    <w:p w:rsidR="007C2ECD" w:rsidRDefault="007C2ECD">
      <w:pPr>
        <w:numPr>
          <w:ilvl w:val="3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支氣管炎</w:t>
      </w:r>
    </w:p>
    <w:p w:rsidR="007C2ECD" w:rsidRDefault="007C2ECD">
      <w:pPr>
        <w:numPr>
          <w:ilvl w:val="3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肺膿瘍</w:t>
      </w:r>
    </w:p>
    <w:p w:rsidR="007C2ECD" w:rsidRDefault="007C2ECD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慢性食道炎</w:t>
      </w:r>
    </w:p>
    <w:p w:rsidR="007C2ECD" w:rsidRDefault="007C2ECD">
      <w:pPr>
        <w:numPr>
          <w:ilvl w:val="3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增加鱗狀細胞癌風險</w:t>
      </w:r>
    </w:p>
    <w:p w:rsidR="007C2ECD" w:rsidRDefault="007C2ECD">
      <w:pPr>
        <w:numPr>
          <w:ilvl w:val="0"/>
          <w:numId w:val="2"/>
        </w:numPr>
        <w:spacing w:line="42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診斷</w:t>
      </w:r>
    </w:p>
    <w:p w:rsidR="007C2ECD" w:rsidRDefault="007C2ECD">
      <w:pPr>
        <w:numPr>
          <w:ilvl w:val="1"/>
          <w:numId w:val="2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內視鏡檢查（</w:t>
      </w: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Endoscopy</w:t>
      </w: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）</w:t>
      </w:r>
    </w:p>
    <w:p w:rsidR="007C2ECD" w:rsidRDefault="007C2ECD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初步評估</w:t>
      </w:r>
    </w:p>
    <w:p w:rsidR="007C2ECD" w:rsidRDefault="007C2ECD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用於排除胃賁門交界處的腫瘤或良性機械性狹窄，也可排除假性賁門弛緩不能</w:t>
      </w:r>
    </w:p>
    <w:p w:rsidR="007C2ECD" w:rsidRDefault="007C2ECD">
      <w:pPr>
        <w:numPr>
          <w:ilvl w:val="1"/>
          <w:numId w:val="2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鋇餐</w:t>
      </w: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X</w:t>
      </w: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光檢查（</w:t>
      </w: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Barium swallow x-ray</w:t>
      </w: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）</w:t>
      </w:r>
    </w:p>
    <w:p w:rsidR="007C2ECD" w:rsidRDefault="007C2ECD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表現為食道擴張、排空不良、氣液平面，以及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LES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處的錐形變窄（呈現鳥嘴樣</w:t>
      </w:r>
      <w:r>
        <w:rPr>
          <w:rFonts w:ascii="微軟正黑體" w:eastAsia="微軟正黑體" w:hAnsi="微軟正黑體" w:cs="Calibri" w:hint="eastAsia"/>
          <w:color w:val="C00000"/>
        </w:rPr>
        <w:t>Bird beak sign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外觀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下方圖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）</w:t>
      </w:r>
    </w:p>
    <w:p w:rsidR="007C2ECD" w:rsidRDefault="007C2ECD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偶爾會觀察到食道膈上憩室（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epiphrenic diverticulum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）</w:t>
      </w:r>
    </w:p>
    <w:p w:rsidR="007C2ECD" w:rsidRDefault="007C2ECD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長期賁門弛緩不能的食道可能呈現乙狀結腸樣變形</w:t>
      </w:r>
    </w:p>
    <w:p w:rsidR="007C2ECD" w:rsidRDefault="007C2ECD">
      <w:pPr>
        <w:numPr>
          <w:ilvl w:val="1"/>
          <w:numId w:val="2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食道測壓術（</w:t>
      </w: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Esophageal manometry</w:t>
      </w: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）</w:t>
      </w:r>
    </w:p>
    <w:p w:rsidR="007C2ECD" w:rsidRDefault="007C2ECD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診斷標準是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LES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鬆弛受損和蠕動消失</w:t>
      </w:r>
    </w:p>
    <w:p w:rsidR="007C2ECD" w:rsidRDefault="007C2ECD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高解析度測壓術根據非蠕動食道的壓力模式，區分出三種賁門弛緩不能的亞型（經典型、食道受壓型、痙攣性賁門弛緩不能）</w:t>
      </w:r>
    </w:p>
    <w:p w:rsidR="007C2ECD" w:rsidRDefault="007C2ECD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測壓術可以識別食道擴張和食物滯留之前的早期疾病，因此是最敏感的診斷測試</w:t>
      </w:r>
    </w:p>
    <w:p w:rsidR="007C2ECD" w:rsidRDefault="007C2ECD">
      <w:pPr>
        <w:numPr>
          <w:ilvl w:val="0"/>
          <w:numId w:val="2"/>
        </w:numPr>
        <w:spacing w:line="42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治療</w:t>
      </w:r>
    </w:p>
    <w:p w:rsidR="007C2ECD" w:rsidRDefault="007C2ECD">
      <w:pPr>
        <w:numPr>
          <w:ilvl w:val="1"/>
          <w:numId w:val="2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治療目的</w:t>
      </w: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:</w:t>
      </w:r>
    </w:p>
    <w:p w:rsidR="007C2ECD" w:rsidRDefault="007C2ECD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降低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LES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壓力，以便重力和食道加壓可促進食道排空</w:t>
      </w:r>
    </w:p>
    <w:p w:rsidR="007C2ECD" w:rsidRDefault="007C2ECD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蠕動無法恢復</w:t>
      </w:r>
    </w:p>
    <w:p w:rsidR="007C2ECD" w:rsidRDefault="007C2ECD">
      <w:pPr>
        <w:numPr>
          <w:ilvl w:val="1"/>
          <w:numId w:val="2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藥物治療（</w:t>
      </w: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Pharmacologic therapies</w:t>
      </w: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color w:val="131314"/>
          <w:sz w:val="21"/>
          <w:szCs w:val="21"/>
        </w:rPr>
        <w:t>：</w:t>
      </w:r>
    </w:p>
    <w:p w:rsidR="007C2ECD" w:rsidRDefault="007C2ECD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硝酸鹽或鈣通道阻滯劑：進食前給藥，但由於其對血壓的影響應謹慎使用</w:t>
      </w:r>
    </w:p>
    <w:p w:rsidR="007C2ECD" w:rsidRDefault="007C2ECD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肉毒桿菌毒素：在內視鏡引導下注射到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LES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中，抑制神經末梢的乙醯膽鹼釋放</w:t>
      </w:r>
    </w:p>
    <w:p w:rsidR="007C2ECD" w:rsidRDefault="007C2ECD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西地那非（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Sildenafil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）及其他磷酸二酯酶抑制劑：有效降低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LES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壓力，但實用性限制了其在賁門弛緩不能中的臨床應用。</w:t>
      </w:r>
    </w:p>
    <w:p w:rsidR="007C2ECD" w:rsidRDefault="007C2ECD">
      <w:pPr>
        <w:numPr>
          <w:ilvl w:val="1"/>
          <w:numId w:val="2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介入性治療</w:t>
      </w:r>
    </w:p>
    <w:p w:rsidR="007C2ECD" w:rsidRDefault="007C2ECD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氣球擴張術（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Pneumatic dilation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：一種內視鏡技術，使用非順應性圓柱形氣球擴張器，放置於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LES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處並充氣至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3-4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公分直徑</w:t>
      </w:r>
    </w:p>
    <w:p w:rsidR="007C2ECD" w:rsidRDefault="007C2ECD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LES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肌切開術（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LES myotomy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：</w:t>
      </w:r>
    </w:p>
    <w:p w:rsidR="007C2ECD" w:rsidRDefault="007C2ECD">
      <w:pPr>
        <w:numPr>
          <w:ilvl w:val="3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腹腔鏡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Heller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肌切開術（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Laparoscopic Heller myotomy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：最常見的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achalasia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手術，通常與抗逆流手術（部分胃底折疊術）同時進行</w:t>
      </w:r>
    </w:p>
    <w:p w:rsidR="007C2ECD" w:rsidRDefault="007C2ECD">
      <w:pPr>
        <w:numPr>
          <w:ilvl w:val="3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經口內視鏡食道肌切開術（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Peroral esophageal myotomy, POEM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：一種內視鏡方法，在食道壁的黏膜下層創建一個通道，透過電燒截斷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LES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和遠端食道的環形肌。</w:t>
      </w:r>
    </w:p>
    <w:p w:rsidR="007C2ECD" w:rsidRDefault="007C2ECD">
      <w:pPr>
        <w:numPr>
          <w:ilvl w:val="0"/>
          <w:numId w:val="2"/>
        </w:numPr>
        <w:spacing w:line="42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影像補充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(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鋇劑吞食攝影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)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5050"/>
        <w:gridCol w:w="4300"/>
      </w:tblGrid>
      <w:tr w:rsidR="00000000">
        <w:trPr>
          <w:divId w:val="1265725940"/>
        </w:trPr>
        <w:tc>
          <w:tcPr>
            <w:tcW w:w="51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2ECD" w:rsidRDefault="007C2ECD">
            <w:pPr>
              <w:pStyle w:val="Web"/>
              <w:spacing w:before="0" w:beforeAutospacing="0" w:after="0" w:afterAutospacing="0" w:line="420" w:lineRule="atLeast"/>
              <w:rPr>
                <w:rFonts w:ascii="微軟正黑體" w:eastAsia="微軟正黑體" w:hAnsi="微軟正黑體"/>
                <w:color w:val="131314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color w:val="131314"/>
                <w:sz w:val="28"/>
                <w:szCs w:val="28"/>
              </w:rPr>
              <w:t>Bird beak sign</w:t>
            </w:r>
          </w:p>
        </w:tc>
        <w:tc>
          <w:tcPr>
            <w:tcW w:w="42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2ECD" w:rsidRDefault="007C2ECD">
            <w:pPr>
              <w:pStyle w:val="Web"/>
              <w:spacing w:before="0" w:beforeAutospacing="0" w:after="0" w:afterAutospacing="0" w:line="420" w:lineRule="atLeast"/>
              <w:rPr>
                <w:rFonts w:ascii="微軟正黑體" w:eastAsia="微軟正黑體" w:hAnsi="微軟正黑體" w:hint="eastAsia"/>
                <w:color w:val="131314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color w:val="131314"/>
                <w:sz w:val="28"/>
                <w:szCs w:val="28"/>
              </w:rPr>
              <w:t>Corkskrew esophagus</w:t>
            </w:r>
          </w:p>
        </w:tc>
      </w:tr>
      <w:tr w:rsidR="00000000">
        <w:trPr>
          <w:divId w:val="1265725940"/>
        </w:trPr>
        <w:tc>
          <w:tcPr>
            <w:tcW w:w="51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2ECD" w:rsidRDefault="007C2ECD">
            <w:pPr>
              <w:pStyle w:val="Web"/>
              <w:spacing w:before="0" w:beforeAutospacing="0" w:after="0" w:afterAutospacing="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>
                  <wp:extent cx="3105150" cy="4572000"/>
                  <wp:effectExtent l="0" t="0" r="0" b="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05150" cy="457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C2ECD" w:rsidRDefault="007C2ECD">
            <w:pPr>
              <w:pStyle w:val="Web"/>
              <w:spacing w:before="0" w:beforeAutospacing="0" w:after="0" w:afterAutospacing="0" w:line="500" w:lineRule="atLeast"/>
              <w:rPr>
                <w:rFonts w:ascii="微軟正黑體" w:eastAsia="微軟正黑體" w:hAnsi="微軟正黑體"/>
                <w:color w:val="131314"/>
                <w:sz w:val="32"/>
                <w:szCs w:val="32"/>
              </w:rPr>
            </w:pPr>
            <w:r>
              <w:rPr>
                <w:rFonts w:ascii="微軟正黑體" w:eastAsia="微軟正黑體" w:hAnsi="微軟正黑體" w:hint="eastAsia"/>
                <w:color w:val="131314"/>
                <w:sz w:val="32"/>
                <w:szCs w:val="32"/>
              </w:rPr>
              <w:t> </w:t>
            </w:r>
          </w:p>
        </w:tc>
        <w:tc>
          <w:tcPr>
            <w:tcW w:w="42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2ECD" w:rsidRDefault="007C2ECD">
            <w:pPr>
              <w:pStyle w:val="Web"/>
              <w:spacing w:before="0" w:beforeAutospacing="0" w:after="0" w:afterAutospacing="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>
                  <wp:extent cx="2628900" cy="4572000"/>
                  <wp:effectExtent l="0" t="0" r="0" b="0"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8900" cy="457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C2ECD" w:rsidRDefault="007C2ECD">
            <w:pPr>
              <w:pStyle w:val="Web"/>
              <w:spacing w:before="0" w:beforeAutospacing="0" w:after="0" w:afterAutospacing="0" w:line="500" w:lineRule="atLeast"/>
              <w:rPr>
                <w:rFonts w:ascii="微軟正黑體" w:eastAsia="微軟正黑體" w:hAnsi="微軟正黑體"/>
                <w:color w:val="131314"/>
                <w:sz w:val="32"/>
                <w:szCs w:val="32"/>
              </w:rPr>
            </w:pPr>
            <w:r>
              <w:rPr>
                <w:rFonts w:ascii="微軟正黑體" w:eastAsia="微軟正黑體" w:hAnsi="微軟正黑體" w:hint="eastAsia"/>
                <w:color w:val="131314"/>
                <w:sz w:val="32"/>
                <w:szCs w:val="32"/>
              </w:rPr>
              <w:t> </w:t>
            </w:r>
          </w:p>
        </w:tc>
      </w:tr>
      <w:tr w:rsidR="00000000">
        <w:trPr>
          <w:divId w:val="1265725940"/>
        </w:trPr>
        <w:tc>
          <w:tcPr>
            <w:tcW w:w="51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2ECD" w:rsidRDefault="007C2ECD">
            <w:pPr>
              <w:pStyle w:val="Web"/>
              <w:spacing w:before="0" w:beforeAutospacing="0" w:after="0" w:afterAutospacing="0" w:line="420" w:lineRule="atLeast"/>
              <w:rPr>
                <w:rFonts w:ascii="微軟正黑體" w:eastAsia="微軟正黑體" w:hAnsi="微軟正黑體" w:hint="eastAsia"/>
                <w:color w:val="131314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color w:val="131314"/>
                <w:sz w:val="28"/>
                <w:szCs w:val="28"/>
              </w:rPr>
              <w:t>Achalasia</w:t>
            </w:r>
          </w:p>
        </w:tc>
        <w:tc>
          <w:tcPr>
            <w:tcW w:w="42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2ECD" w:rsidRDefault="007C2ECD">
            <w:pPr>
              <w:pStyle w:val="Web"/>
              <w:spacing w:before="0" w:beforeAutospacing="0" w:after="0" w:afterAutospacing="0" w:line="420" w:lineRule="atLeast"/>
              <w:rPr>
                <w:rFonts w:ascii="微軟正黑體" w:eastAsia="微軟正黑體" w:hAnsi="微軟正黑體" w:hint="eastAsia"/>
                <w:color w:val="131314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color w:val="131314"/>
                <w:sz w:val="28"/>
                <w:szCs w:val="28"/>
              </w:rPr>
              <w:t>Esophagus spasm</w:t>
            </w:r>
          </w:p>
        </w:tc>
      </w:tr>
    </w:tbl>
    <w:p w:rsidR="007C2ECD" w:rsidRDefault="007C2ECD">
      <w:pPr>
        <w:pStyle w:val="Web"/>
        <w:spacing w:before="120" w:beforeAutospacing="0" w:after="120" w:afterAutospacing="0" w:line="360" w:lineRule="atLeast"/>
        <w:ind w:left="540"/>
        <w:rPr>
          <w:rFonts w:ascii="微軟正黑體" w:eastAsia="微軟正黑體" w:hAnsi="微軟正黑體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 </w:t>
      </w:r>
    </w:p>
    <w:p w:rsidR="007C2ECD" w:rsidRDefault="007C2ECD">
      <w:pPr>
        <w:numPr>
          <w:ilvl w:val="0"/>
          <w:numId w:val="3"/>
        </w:numPr>
        <w:spacing w:line="420" w:lineRule="atLeast"/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Reference</w:t>
      </w:r>
    </w:p>
    <w:p w:rsidR="007C2ECD" w:rsidRDefault="007C2ECD">
      <w:pPr>
        <w:numPr>
          <w:ilvl w:val="1"/>
          <w:numId w:val="3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Harrison's principles</w:t>
      </w:r>
    </w:p>
    <w:p w:rsidR="007C2ECD" w:rsidRDefault="007C2ECD">
      <w:pPr>
        <w:numPr>
          <w:ilvl w:val="1"/>
          <w:numId w:val="3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Wikimedia</w:t>
      </w:r>
    </w:p>
    <w:p w:rsidR="007C2ECD" w:rsidRDefault="007C2ECD">
      <w:pPr>
        <w:pStyle w:val="Web"/>
        <w:spacing w:before="0" w:beforeAutospacing="0" w:after="0" w:afterAutospacing="0" w:line="360" w:lineRule="atLeast"/>
        <w:ind w:left="540"/>
        <w:rPr>
          <w:rFonts w:ascii="微軟正黑體" w:eastAsia="微軟正黑體" w:hAnsi="微軟正黑體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 </w:t>
      </w:r>
    </w:p>
    <w:p w:rsidR="007C2ECD" w:rsidRDefault="007C2ECD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C2ECD" w:rsidRDefault="007C2ECD" w:rsidP="007C2ECD">
      <w:r>
        <w:separator/>
      </w:r>
    </w:p>
  </w:endnote>
  <w:endnote w:type="continuationSeparator" w:id="0">
    <w:p w:rsidR="007C2ECD" w:rsidRDefault="007C2ECD" w:rsidP="007C2E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C2ECD" w:rsidRDefault="007C2ECD" w:rsidP="007C2ECD">
      <w:r>
        <w:separator/>
      </w:r>
    </w:p>
  </w:footnote>
  <w:footnote w:type="continuationSeparator" w:id="0">
    <w:p w:rsidR="007C2ECD" w:rsidRDefault="007C2ECD" w:rsidP="007C2E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984FB7"/>
    <w:multiLevelType w:val="multilevel"/>
    <w:tmpl w:val="A97A1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86F5601"/>
    <w:multiLevelType w:val="multilevel"/>
    <w:tmpl w:val="48426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4342DBE"/>
    <w:multiLevelType w:val="multilevel"/>
    <w:tmpl w:val="7280F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26456458">
    <w:abstractNumId w:val="2"/>
  </w:num>
  <w:num w:numId="2" w16cid:durableId="1337269110">
    <w:abstractNumId w:val="0"/>
  </w:num>
  <w:num w:numId="3" w16cid:durableId="17563209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ECD"/>
    <w:rsid w:val="007C2ECD"/>
    <w:rsid w:val="008B1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C59A96B-7E4A-48D1-853B-30E578D73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C2EC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C2ECD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7C2EC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C2ECD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57259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230</Words>
  <Characters>1315</Characters>
  <Application>Microsoft Office Word</Application>
  <DocSecurity>0</DocSecurity>
  <Lines>10</Lines>
  <Paragraphs>3</Paragraphs>
  <ScaleCrop>false</ScaleCrop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2025-07-27T09:40:00Z</dcterms:created>
  <dcterms:modified xsi:type="dcterms:W3CDTF">2025-07-27T09:40:00Z</dcterms:modified>
</cp:coreProperties>
</file>