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1C7B" w:rsidRDefault="00E41C7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GERD </w:t>
      </w:r>
    </w:p>
    <w:p w:rsidR="00E41C7B" w:rsidRDefault="00E41C7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E41C7B" w:rsidRDefault="00E41C7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E41C7B" w:rsidRDefault="00E41C7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41C7B" w:rsidRDefault="00E41C7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41C7B" w:rsidRDefault="00E41C7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41C7B" w:rsidRDefault="00E41C7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41C7B" w:rsidRDefault="00E41C7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41C7B" w:rsidRDefault="00E41C7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41C7B" w:rsidRDefault="00E41C7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41C7B" w:rsidRDefault="00E41C7B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</w:p>
    <w:p w:rsidR="00E41C7B" w:rsidRDefault="00E41C7B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胃食道逆流疾病（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Gastroesophageal Reflux Disease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GERD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）是指</w:t>
      </w:r>
      <w:r>
        <w:rPr>
          <w:rFonts w:ascii="微軟正黑體" w:eastAsia="微軟正黑體" w:hAnsi="微軟正黑體" w:cs="Calibri" w:hint="eastAsia"/>
          <w:sz w:val="28"/>
          <w:szCs w:val="28"/>
        </w:rPr>
        <w:t>胃酸及胃內容物不正常地向上逆流進入食道，造成食道黏膜損傷或引發相關症狀的疾病</w:t>
      </w:r>
    </w:p>
    <w:p w:rsidR="00E41C7B" w:rsidRDefault="00E41C7B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病生理機轉</w:t>
      </w:r>
    </w:p>
    <w:p w:rsidR="00E41C7B" w:rsidRDefault="00E41C7B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主要機制：</w:t>
      </w:r>
    </w:p>
    <w:p w:rsidR="00E41C7B" w:rsidRDefault="00E41C7B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胃酸和胃蛋白酶引起食道黏膜發炎反應</w:t>
      </w:r>
    </w:p>
    <w:p w:rsidR="00E41C7B" w:rsidRDefault="00E41C7B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經由細胞激素介導的發炎途徑，而非直接的腐蝕性傷害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E41C7B" w:rsidRDefault="00E41C7B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食道胃接合處功能異常的三大機制：</w:t>
      </w:r>
    </w:p>
    <w:p w:rsidR="00E41C7B" w:rsidRDefault="00E41C7B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食道括約肌暫時性鬆弛（經由迷走神經反射）</w:t>
      </w:r>
    </w:p>
    <w:p w:rsidR="00E41C7B" w:rsidRDefault="00E41C7B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是一種迷走神經反射</w:t>
      </w:r>
    </w:p>
    <w:p w:rsidR="00E41C7B" w:rsidRDefault="00E41C7B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由胃部脹大引起</w:t>
      </w:r>
    </w:p>
    <w:p w:rsidR="00E41C7B" w:rsidRDefault="00E41C7B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食道括約肌張力過低</w:t>
      </w:r>
    </w:p>
    <w:p w:rsidR="00E41C7B" w:rsidRDefault="00E41C7B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食道胃接合處解剖結構異常（包括裂孔疝氣）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 </w:t>
      </w:r>
    </w:p>
    <w:p w:rsidR="00E41C7B" w:rsidRDefault="00E41C7B">
      <w:pPr>
        <w:numPr>
          <w:ilvl w:val="1"/>
          <w:numId w:val="2"/>
        </w:numPr>
        <w:spacing w:line="4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30"/>
          <w:szCs w:val="30"/>
        </w:rPr>
        <w:t>胃液清除機制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：</w:t>
      </w:r>
    </w:p>
    <w:p w:rsidR="00E41C7B" w:rsidRDefault="00E41C7B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正常清除過程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:</w:t>
      </w:r>
    </w:p>
    <w:p w:rsidR="00E41C7B" w:rsidRDefault="00E41C7B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食道蠕動將逆流液體送回胃部</w:t>
      </w:r>
    </w:p>
    <w:p w:rsidR="00E41C7B" w:rsidRDefault="00E41C7B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吞嚥的唾液中的碳酸氫鹽中和殘餘酸性物質</w:t>
      </w:r>
    </w:p>
    <w:p w:rsidR="00E41C7B" w:rsidRDefault="00E41C7B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清除機制受損原因</w:t>
      </w:r>
    </w:p>
    <w:p w:rsidR="00E41C7B" w:rsidRDefault="00E41C7B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蠕動功能障礙</w:t>
      </w:r>
    </w:p>
    <w:p w:rsidR="00E41C7B" w:rsidRDefault="00E41C7B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唾液分泌減少</w:t>
      </w:r>
    </w:p>
    <w:p w:rsidR="00E41C7B" w:rsidRDefault="00E41C7B">
      <w:pPr>
        <w:pStyle w:val="Web"/>
        <w:spacing w:before="0" w:beforeAutospacing="0" w:after="0" w:afterAutospacing="0" w:line="320" w:lineRule="atLeast"/>
        <w:ind w:left="108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E41C7B" w:rsidRDefault="00E41C7B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lastRenderedPageBreak/>
        <w:t>風險因素：</w:t>
      </w:r>
    </w:p>
    <w:p w:rsidR="00E41C7B" w:rsidRDefault="00E41C7B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腹部肥胖</w:t>
      </w:r>
    </w:p>
    <w:p w:rsidR="00E41C7B" w:rsidRDefault="00E41C7B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懷孕</w:t>
      </w:r>
    </w:p>
    <w:p w:rsidR="00E41C7B" w:rsidRDefault="00E41C7B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胃酸分泌過多</w:t>
      </w:r>
    </w:p>
    <w:p w:rsidR="00E41C7B" w:rsidRDefault="00E41C7B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胃排空延遲</w:t>
      </w:r>
    </w:p>
    <w:p w:rsidR="00E41C7B" w:rsidRDefault="00E41C7B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食道蠕動功能障礙</w:t>
      </w:r>
    </w:p>
    <w:p w:rsidR="00E41C7B" w:rsidRDefault="00E41C7B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暴飲暴食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E41C7B" w:rsidRDefault="00E41C7B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Zollinger-Ellison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症候群</w:t>
      </w:r>
    </w:p>
    <w:p w:rsidR="00E41C7B" w:rsidRDefault="00E41C7B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膽汁</w:t>
      </w:r>
    </w:p>
    <w:p w:rsidR="00E41C7B" w:rsidRDefault="00E41C7B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胃蛋白酶</w:t>
      </w:r>
    </w:p>
    <w:p w:rsidR="00E41C7B" w:rsidRDefault="00E41C7B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胰臟酵素</w:t>
      </w:r>
    </w:p>
    <w:p w:rsidR="00E41C7B" w:rsidRDefault="00E41C7B">
      <w:pPr>
        <w:numPr>
          <w:ilvl w:val="0"/>
          <w:numId w:val="3"/>
        </w:numPr>
        <w:spacing w:line="2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幽門桿菌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:</w:t>
      </w:r>
    </w:p>
    <w:p w:rsidR="00E41C7B" w:rsidRDefault="00E41C7B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與胃食道逆流無直接關係</w:t>
      </w:r>
    </w:p>
    <w:p w:rsidR="00E41C7B" w:rsidRDefault="00E41C7B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可能透過慢性胃炎減少胃酸分泌，反而形成保護效果</w:t>
      </w:r>
    </w:p>
    <w:p w:rsidR="00E41C7B" w:rsidRDefault="00E41C7B">
      <w:pPr>
        <w:pStyle w:val="Web"/>
        <w:spacing w:before="0" w:beforeAutospacing="0" w:after="0" w:afterAutospacing="0" w:line="420" w:lineRule="atLeast"/>
        <w:ind w:left="54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41C7B" w:rsidRDefault="00E41C7B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症狀</w:t>
      </w:r>
    </w:p>
    <w:p w:rsidR="00E41C7B" w:rsidRDefault="00E41C7B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主要症狀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胸口灼熱感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(Heartburn)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逆流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(Regurgitation):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口腔有酸味</w:t>
      </w:r>
    </w:p>
    <w:p w:rsidR="00E41C7B" w:rsidRDefault="00E41C7B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次要症狀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吞嚥困難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(Dysphagia)</w:t>
      </w:r>
    </w:p>
    <w:p w:rsidR="00E41C7B" w:rsidRDefault="00E41C7B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消化性狹窄</w:t>
      </w:r>
    </w:p>
    <w:p w:rsidR="00E41C7B" w:rsidRDefault="00E41C7B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嗜酸性食道炎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(EoE)</w:t>
      </w:r>
    </w:p>
    <w:p w:rsidR="00E41C7B" w:rsidRDefault="00E41C7B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癌症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(chest pain)</w:t>
      </w:r>
    </w:p>
    <w:p w:rsidR="00E41C7B" w:rsidRDefault="00E41C7B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可能為長期嚴重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GERD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的症狀</w:t>
      </w:r>
    </w:p>
    <w:p w:rsidR="00E41C7B" w:rsidRDefault="00E41C7B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需仔細鑑別心臟問題</w:t>
      </w:r>
    </w:p>
    <w:p w:rsidR="00E41C7B" w:rsidRDefault="00E41C7B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食道外症狀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慢性咳嗽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喉炎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氣喘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牙齒侵蝕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吸入性肺炎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睡眠呼吸中止症</w:t>
      </w:r>
    </w:p>
    <w:p w:rsidR="00E41C7B" w:rsidRDefault="00E41C7B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E41C7B" w:rsidRDefault="00E41C7B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診斷工具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內視鏡檢查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上消化道攝影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食道壓力檢查</w:t>
      </w:r>
    </w:p>
    <w:p w:rsidR="00E41C7B" w:rsidRDefault="00E41C7B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內視鏡</w:t>
      </w:r>
    </w:p>
    <w:p w:rsidR="00E41C7B" w:rsidRDefault="00E41C7B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各類食道炎內視鏡特徵</w:t>
      </w:r>
    </w:p>
    <w:p w:rsidR="00E41C7B" w:rsidRDefault="00E41C7B">
      <w:pPr>
        <w:numPr>
          <w:ilvl w:val="2"/>
          <w:numId w:val="4"/>
        </w:numPr>
        <w:textAlignment w:val="center"/>
        <w:divId w:val="1952584174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7"/>
        <w:gridCol w:w="1248"/>
        <w:gridCol w:w="1361"/>
        <w:gridCol w:w="1450"/>
      </w:tblGrid>
      <w:tr w:rsidR="00000000">
        <w:trPr>
          <w:divId w:val="1952584174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食道炎類型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潰瘍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病灶特徵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分布位置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其他特徵</w:t>
            </w:r>
          </w:p>
        </w:tc>
      </w:tr>
      <w:tr w:rsidR="00000000">
        <w:trPr>
          <w:divId w:val="1952584174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消化性食道炎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(Peptic)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潰瘍數量少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表淺性糜爛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主要在遠端食道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食道胃接合處</w:t>
            </w:r>
          </w:p>
        </w:tc>
        <w:tc>
          <w:tcPr>
            <w:tcW w:w="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- LA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分級可評估嚴重度</w:t>
            </w:r>
          </w:p>
        </w:tc>
      </w:tr>
      <w:tr w:rsidR="00000000">
        <w:trPr>
          <w:divId w:val="1952584174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(Infectious)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多發性潰瘍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點狀分布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表淺性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瀰漫性分布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可見於各個部位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常伴隨白苔覆蓋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邊緣不規則</w:t>
            </w:r>
          </w:p>
        </w:tc>
      </w:tr>
      <w:tr w:rsidR="00000000">
        <w:trPr>
          <w:divId w:val="1952584174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嗜酸性食道炎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(EoE)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通常無明顯潰瘍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可見於全食道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多發性食道環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縱行溝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白色點狀滲出物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黏膜脆弱</w:t>
            </w:r>
          </w:p>
        </w:tc>
      </w:tr>
      <w:tr w:rsidR="00000000">
        <w:trPr>
          <w:divId w:val="1952584174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(Pill)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單一潰瘍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深部潰瘍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常見於管腔狹窄處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特別是隆突處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遠端食道通常正常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潰瘍邊緣清晰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周圍黏膜正常</w:t>
            </w:r>
          </w:p>
        </w:tc>
      </w:tr>
    </w:tbl>
    <w:p w:rsidR="00E41C7B" w:rsidRDefault="00E41C7B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LA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分類（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Los Angeles Classification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41C7B" w:rsidRDefault="00E41C7B">
      <w:pPr>
        <w:numPr>
          <w:ilvl w:val="2"/>
          <w:numId w:val="4"/>
        </w:numPr>
        <w:textAlignment w:val="center"/>
        <w:divId w:val="1129588983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7"/>
        <w:gridCol w:w="5139"/>
      </w:tblGrid>
      <w:tr w:rsidR="00000000">
        <w:trPr>
          <w:divId w:val="112958898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分類等級</w:t>
            </w:r>
          </w:p>
        </w:tc>
        <w:tc>
          <w:tcPr>
            <w:tcW w:w="6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內視鏡特徵描述</w:t>
            </w:r>
          </w:p>
        </w:tc>
      </w:tr>
      <w:tr w:rsidR="00000000">
        <w:trPr>
          <w:divId w:val="112958898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一條或多條黏膜破損，長度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，且未跨越黏膜皺褶間距</w:t>
            </w:r>
          </w:p>
        </w:tc>
      </w:tr>
      <w:tr w:rsidR="00000000">
        <w:trPr>
          <w:divId w:val="112958898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一條或多條黏膜破損，長度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5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，但仍未跨越黏膜皺褶間距</w:t>
            </w:r>
          </w:p>
        </w:tc>
      </w:tr>
      <w:tr w:rsidR="00000000">
        <w:trPr>
          <w:divId w:val="112958898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黏膜破損延伸至跨越兩個或更多皺褶之間，但仍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75%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的食道周徑</w:t>
            </w:r>
          </w:p>
        </w:tc>
      </w:tr>
      <w:tr w:rsidR="00000000">
        <w:trPr>
          <w:divId w:val="112958898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黏膜破損跨越至少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的食道周徑</w:t>
            </w:r>
          </w:p>
        </w:tc>
      </w:tr>
    </w:tbl>
    <w:p w:rsidR="00E41C7B" w:rsidRDefault="00E41C7B">
      <w:pPr>
        <w:pStyle w:val="Web"/>
        <w:spacing w:before="120" w:beforeAutospacing="0" w:after="120" w:afterAutospacing="0" w:line="420" w:lineRule="atLeast"/>
        <w:ind w:left="54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41C7B" w:rsidRDefault="00E41C7B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長期併發症</w:t>
      </w:r>
    </w:p>
    <w:p w:rsidR="00E41C7B" w:rsidRDefault="00E41C7B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慢性食道炎</w:t>
      </w:r>
    </w:p>
    <w:p w:rsidR="00E41C7B" w:rsidRDefault="00E41C7B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出血、食道狹窄</w:t>
      </w:r>
    </w:p>
    <w:p w:rsidR="00E41C7B" w:rsidRDefault="00E41C7B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巴瑞特氏食道</w:t>
      </w:r>
    </w:p>
    <w:p w:rsidR="00E41C7B" w:rsidRDefault="00E41C7B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內視鏡下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胃食道接合處向上延伸的鮭魚紅色黏膜</w:t>
      </w:r>
    </w:p>
    <w:p w:rsidR="00E41C7B" w:rsidRDefault="00E41C7B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腸化生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(intestinal metaplasia)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食道下段的鱗狀上皮被柱狀上皮取代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杯細胞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(Goblet cell)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產生</w:t>
      </w:r>
    </w:p>
    <w:p w:rsidR="00E41C7B" w:rsidRDefault="00E41C7B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有癌化風險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腺癌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E41C7B" w:rsidRDefault="00E41C7B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high-dose proton pump inhibitor (PPI) </w:t>
      </w:r>
      <w:r>
        <w:rPr>
          <w:rFonts w:ascii="微軟正黑體" w:eastAsia="微軟正黑體" w:hAnsi="微軟正黑體" w:cs="Calibri" w:hint="eastAsia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  <w:t xml:space="preserve">aspirin </w:t>
      </w:r>
    </w:p>
    <w:p w:rsidR="00E41C7B" w:rsidRDefault="00E41C7B">
      <w:pPr>
        <w:numPr>
          <w:ilvl w:val="4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無法阻止癌化風險</w:t>
      </w:r>
    </w:p>
    <w:p w:rsidR="00E41C7B" w:rsidRDefault="00E41C7B">
      <w:pPr>
        <w:numPr>
          <w:ilvl w:val="4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能延長整體生存率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對於高度異生組織，建議使用內視鏡電燒治療</w:t>
      </w:r>
    </w:p>
    <w:p w:rsidR="00E41C7B" w:rsidRDefault="00E41C7B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E41C7B" w:rsidRDefault="00E41C7B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生活調整</w:t>
      </w:r>
    </w:p>
    <w:p w:rsidR="00E41C7B" w:rsidRDefault="00E41C7B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避免「致逆流」食物：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 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高脂肪食物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酒精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留蘭香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薄荷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咖啡和茶</w:t>
      </w:r>
    </w:p>
    <w:p w:rsidR="00E41C7B" w:rsidRDefault="00E41C7B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避免刺激性酸性食物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柑橘類水果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番茄類食物</w:t>
      </w:r>
    </w:p>
    <w:p w:rsidR="00E41C7B" w:rsidRDefault="00E41C7B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其他行為建議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抬高床頭（針對夜間症狀）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避免睡前進食</w:t>
      </w:r>
    </w:p>
    <w:p w:rsidR="00E41C7B" w:rsidRDefault="00E41C7B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減重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（具有強烈流行病學證據支持）</w:t>
      </w:r>
    </w:p>
    <w:p w:rsidR="00E41C7B" w:rsidRDefault="00E41C7B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藥物治療</w:t>
      </w:r>
    </w:p>
    <w:p w:rsidR="00E41C7B" w:rsidRDefault="00E41C7B">
      <w:pPr>
        <w:numPr>
          <w:ilvl w:val="2"/>
          <w:numId w:val="5"/>
        </w:numPr>
        <w:textAlignment w:val="center"/>
        <w:divId w:val="1724938023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0"/>
        <w:gridCol w:w="1779"/>
        <w:gridCol w:w="795"/>
        <w:gridCol w:w="948"/>
        <w:gridCol w:w="972"/>
        <w:gridCol w:w="812"/>
      </w:tblGrid>
      <w:tr w:rsidR="00000000">
        <w:trPr>
          <w:divId w:val="1724938023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藥物分類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代表藥物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作用機制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主要功效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副作用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特殊注意事項</w:t>
            </w:r>
          </w:p>
        </w:tc>
      </w:tr>
      <w:tr w:rsidR="00000000">
        <w:trPr>
          <w:divId w:val="1724938023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制酸劑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氫氧化鋁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氫氧化鎂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中和胃酸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快速緩解胃酸症狀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便秘（鋁）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腹瀉（鎂）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影響礦物質吸收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與其他藥物間隔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小時服用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不適合長期使用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腎功能不全者需謹慎</w:t>
            </w:r>
          </w:p>
        </w:tc>
      </w:tr>
      <w:tr w:rsidR="00000000">
        <w:trPr>
          <w:divId w:val="1724938023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黏膜保護劑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Sucralfate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在胃黏膜形成保護膜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保護受損黏膜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促進傷口癒合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影響藥物吸收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需空腹服用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與其他藥物間隔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</w:t>
            </w:r>
          </w:p>
        </w:tc>
      </w:tr>
      <w:tr w:rsidR="00000000">
        <w:trPr>
          <w:divId w:val="1724938023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H2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受體拮抗劑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Ranitidine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Famotidine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抑制組織胺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H2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受體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中度抑制胃酸分泌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疲倦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精神混亂（老年人）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腎功能不全需調整劑量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可能影響精神科藥物代謝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長期使用可能產生耐受性</w:t>
            </w:r>
          </w:p>
        </w:tc>
      </w:tr>
      <w:tr w:rsidR="00000000">
        <w:trPr>
          <w:divId w:val="1724938023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質子幫浦抑制劑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  <w:t>(PPIs)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Omeprazole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Esomeprazole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Lansoprazole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抑制胃壁細胞質子幫浦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強效且持久抑制胃酸分泌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維生素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缺乏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骨質疏鬆風險增加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腎功能損害風險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腸道菌群失調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可能影響抗憂鬱藥物代謝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長期使用需定期評估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監測骨密度和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水平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停藥時需緩慢減量</w:t>
            </w:r>
          </w:p>
        </w:tc>
      </w:tr>
      <w:tr w:rsidR="00000000">
        <w:trPr>
          <w:divId w:val="1724938023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胃腸蠕動促進劑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Mosapride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Domperidone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增加乙醯膽鹼釋放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促進胃腸蠕動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改善胃排空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降低逆流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緩解噁心嘔吐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錐體外症狀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靜躁不安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乳汁分泌增加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心律不整風險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1C7B" w:rsidRDefault="00E41C7B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與抗精神病藥物併用風險高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使用時間不宜超過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老年人需降低劑量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注意心臟病史</w:t>
            </w:r>
          </w:p>
        </w:tc>
      </w:tr>
    </w:tbl>
    <w:p w:rsidR="00E41C7B" w:rsidRDefault="00E41C7B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藥物治療以抑制胃酸分泌為主，其中</w:t>
      </w:r>
      <w:r>
        <w:rPr>
          <w:rFonts w:ascii="微軟正黑體" w:eastAsia="微軟正黑體" w:hAnsi="微軟正黑體" w:cs="Calibri" w:hint="eastAsia"/>
          <w:sz w:val="22"/>
          <w:szCs w:val="22"/>
        </w:rPr>
        <w:t>PPI</w:t>
      </w:r>
      <w:r>
        <w:rPr>
          <w:rFonts w:ascii="微軟正黑體" w:eastAsia="微軟正黑體" w:hAnsi="微軟正黑體" w:cs="Calibri" w:hint="eastAsia"/>
          <w:sz w:val="22"/>
          <w:szCs w:val="22"/>
        </w:rPr>
        <w:t>效果優於</w:t>
      </w:r>
      <w:r>
        <w:rPr>
          <w:rFonts w:ascii="微軟正黑體" w:eastAsia="微軟正黑體" w:hAnsi="微軟正黑體" w:cs="Calibri" w:hint="eastAsia"/>
          <w:sz w:val="22"/>
          <w:szCs w:val="22"/>
        </w:rPr>
        <w:t>H2R blocker</w:t>
      </w:r>
    </w:p>
    <w:p w:rsidR="00E41C7B" w:rsidRDefault="00E41C7B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若以上藥物效果均不佳，可考慮加上膽酸結合劑</w:t>
      </w:r>
    </w:p>
    <w:p w:rsidR="00E41C7B" w:rsidRDefault="00E41C7B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手術治療</w:t>
      </w:r>
    </w:p>
    <w:p w:rsidR="00E41C7B" w:rsidRDefault="00E41C7B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腹腔鏡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Nissen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胃底折疊術</w:t>
      </w:r>
    </w:p>
    <w:p w:rsidR="00E41C7B" w:rsidRDefault="00E41C7B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41C7B" w:rsidRDefault="00E41C7B">
      <w:pPr>
        <w:numPr>
          <w:ilvl w:val="0"/>
          <w:numId w:val="6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E41C7B" w:rsidRDefault="00E41C7B">
      <w:pPr>
        <w:numPr>
          <w:ilvl w:val="1"/>
          <w:numId w:val="6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E41C7B" w:rsidRDefault="00E41C7B">
      <w:pPr>
        <w:numPr>
          <w:ilvl w:val="1"/>
          <w:numId w:val="6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>Sharma P, Yadlapati R. Pathophysiology and treatment options for gastroesophageal reflux disease: looking beyond acid. Ann N Y Acad Sci. 2021 Feb;1486(1):3-14. doi: 10.1111/nyas.14501</w:t>
      </w:r>
    </w:p>
    <w:p w:rsidR="00E41C7B" w:rsidRDefault="00E41C7B">
      <w:pPr>
        <w:pStyle w:val="Web"/>
        <w:spacing w:before="120" w:beforeAutospacing="0" w:after="120" w:afterAutospacing="0" w:line="360" w:lineRule="atLeast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41C7B" w:rsidRDefault="00E41C7B">
      <w:pPr>
        <w:pStyle w:val="Web"/>
        <w:spacing w:before="120" w:beforeAutospacing="0" w:after="120" w:afterAutospacing="0" w:line="360" w:lineRule="atLeast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41C7B" w:rsidRDefault="00E41C7B">
      <w:pPr>
        <w:pStyle w:val="Web"/>
        <w:spacing w:before="120" w:beforeAutospacing="0" w:after="120" w:afterAutospacing="0" w:line="420" w:lineRule="atLeast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41C7B" w:rsidRDefault="00E41C7B">
      <w:pPr>
        <w:pStyle w:val="Web"/>
        <w:spacing w:before="120" w:beforeAutospacing="0" w:after="120" w:afterAutospacing="0" w:line="420" w:lineRule="atLeast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41C7B" w:rsidRDefault="00E41C7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1C7B" w:rsidRDefault="00E41C7B" w:rsidP="00E41C7B">
      <w:r>
        <w:separator/>
      </w:r>
    </w:p>
  </w:endnote>
  <w:endnote w:type="continuationSeparator" w:id="0">
    <w:p w:rsidR="00E41C7B" w:rsidRDefault="00E41C7B" w:rsidP="00E41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1C7B" w:rsidRDefault="00E41C7B" w:rsidP="00E41C7B">
      <w:r>
        <w:separator/>
      </w:r>
    </w:p>
  </w:footnote>
  <w:footnote w:type="continuationSeparator" w:id="0">
    <w:p w:rsidR="00E41C7B" w:rsidRDefault="00E41C7B" w:rsidP="00E41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D18B6"/>
    <w:multiLevelType w:val="multilevel"/>
    <w:tmpl w:val="80C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A5A0F"/>
    <w:multiLevelType w:val="multilevel"/>
    <w:tmpl w:val="85EE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571BE6"/>
    <w:multiLevelType w:val="multilevel"/>
    <w:tmpl w:val="0664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1235F2"/>
    <w:multiLevelType w:val="multilevel"/>
    <w:tmpl w:val="9B8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0B68C5"/>
    <w:multiLevelType w:val="multilevel"/>
    <w:tmpl w:val="D14E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923616"/>
    <w:multiLevelType w:val="multilevel"/>
    <w:tmpl w:val="3E94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5260421">
    <w:abstractNumId w:val="4"/>
  </w:num>
  <w:num w:numId="2" w16cid:durableId="726807295">
    <w:abstractNumId w:val="1"/>
  </w:num>
  <w:num w:numId="3" w16cid:durableId="1110080561">
    <w:abstractNumId w:val="2"/>
  </w:num>
  <w:num w:numId="4" w16cid:durableId="202669671">
    <w:abstractNumId w:val="3"/>
  </w:num>
  <w:num w:numId="5" w16cid:durableId="154686808">
    <w:abstractNumId w:val="0"/>
  </w:num>
  <w:num w:numId="6" w16cid:durableId="558900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C7B"/>
    <w:rsid w:val="00D80EB9"/>
    <w:rsid w:val="00E4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828DE69-8735-4903-A1AD-1A78C75C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1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1C7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41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1C7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588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8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4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