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C58" w:rsidRDefault="009C5C5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Pulmonary embolism</w:t>
      </w:r>
    </w:p>
    <w:p w:rsidR="009C5C58" w:rsidRDefault="009C5C5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9C5C58" w:rsidRDefault="009C5C5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9C5C58" w:rsidRDefault="009C5C5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5C58" w:rsidRDefault="009C5C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C5C58" w:rsidRDefault="009C5C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C5C58" w:rsidRDefault="009C5C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C5C58" w:rsidRDefault="009C5C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C5C58" w:rsidRDefault="009C5C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C5C58" w:rsidRDefault="009C5C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C5C58" w:rsidRDefault="009C5C58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C5C58" w:rsidRDefault="009C5C58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9C5C58" w:rsidRDefault="009C5C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Pulmonary </w:t>
      </w:r>
      <w:r>
        <w:rPr>
          <w:rFonts w:ascii="微軟正黑體" w:eastAsia="微軟正黑體" w:hAnsi="微軟正黑體" w:cs="Calibri" w:hint="eastAsia"/>
          <w:sz w:val="28"/>
          <w:szCs w:val="28"/>
        </w:rPr>
        <w:t>embolism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PE </w:t>
      </w:r>
      <w:r>
        <w:rPr>
          <w:rFonts w:ascii="微軟正黑體" w:eastAsia="微軟正黑體" w:hAnsi="微軟正黑體" w:cs="Calibri" w:hint="eastAsia"/>
          <w:sz w:val="28"/>
          <w:szCs w:val="28"/>
        </w:rPr>
        <w:t>是指血栓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通常來自下肢深層靜脈血栓</w:t>
      </w:r>
      <w:r>
        <w:rPr>
          <w:rFonts w:ascii="微軟正黑體" w:eastAsia="微軟正黑體" w:hAnsi="微軟正黑體" w:cs="Calibri" w:hint="eastAsia"/>
          <w:sz w:val="28"/>
          <w:szCs w:val="28"/>
        </w:rPr>
        <w:t>(Deep vein thrombosis)</w:t>
      </w:r>
      <w:r>
        <w:rPr>
          <w:rFonts w:ascii="微軟正黑體" w:eastAsia="微軟正黑體" w:hAnsi="微軟正黑體" w:cs="Calibri" w:hint="eastAsia"/>
          <w:sz w:val="28"/>
          <w:szCs w:val="28"/>
        </w:rPr>
        <w:t>塞在肺動脈或其分支，導致肺循環受阻。造成呼吸急促、心跳加快、呼吸困難、胸痛、低血壓甚至休克等問題</w:t>
      </w:r>
    </w:p>
    <w:p w:rsidR="009C5C58" w:rsidRDefault="009C5C58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病因及危險因子</w:t>
      </w:r>
    </w:p>
    <w:p w:rsidR="009C5C58" w:rsidRDefault="009C5C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最常見的原因是下肢深靜脈血栓（</w:t>
      </w:r>
      <w:r>
        <w:rPr>
          <w:rFonts w:ascii="微軟正黑體" w:eastAsia="微軟正黑體" w:hAnsi="微軟正黑體" w:cs="Calibri" w:hint="eastAsia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sz w:val="28"/>
          <w:szCs w:val="28"/>
        </w:rPr>
        <w:t>）脫落，經血流進入肺動脈。</w:t>
      </w:r>
    </w:p>
    <w:p w:rsidR="009C5C58" w:rsidRDefault="009C5C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其他危險因子包括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9C5C58" w:rsidRDefault="009C5C58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長時間臥床或不動（如手術後、長途旅行）</w:t>
      </w:r>
    </w:p>
    <w:p w:rsidR="009C5C58" w:rsidRDefault="009C5C58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癌症、肥胖、懷孕、口服避孕藥或荷爾蒙治療</w:t>
      </w:r>
    </w:p>
    <w:p w:rsidR="009C5C58" w:rsidRDefault="009C5C58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吸菸、遺傳性高凝狀態（如蛋白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C/S </w:t>
      </w:r>
      <w:r>
        <w:rPr>
          <w:rFonts w:ascii="微軟正黑體" w:eastAsia="微軟正黑體" w:hAnsi="微軟正黑體" w:cs="Calibri" w:hint="eastAsia"/>
          <w:sz w:val="22"/>
          <w:szCs w:val="22"/>
        </w:rPr>
        <w:t>缺乏、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Factor V Leiden </w:t>
      </w:r>
      <w:r>
        <w:rPr>
          <w:rFonts w:ascii="微軟正黑體" w:eastAsia="微軟正黑體" w:hAnsi="微軟正黑體" w:cs="Calibri" w:hint="eastAsia"/>
          <w:sz w:val="22"/>
          <w:szCs w:val="22"/>
        </w:rPr>
        <w:t>突變）</w:t>
      </w:r>
    </w:p>
    <w:p w:rsidR="009C5C58" w:rsidRDefault="009C5C58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中風、外傷、手術史</w:t>
      </w:r>
    </w:p>
    <w:p w:rsidR="009C5C58" w:rsidRDefault="009C5C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sz w:val="32"/>
          <w:szCs w:val="32"/>
        </w:rPr>
        <w:t>Pathophysiology)</w:t>
      </w:r>
    </w:p>
    <w:p w:rsidR="009C5C58" w:rsidRDefault="009C5C58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血栓的產生主要來自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9C5C58" w:rsidRDefault="009C5C58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Virchow's triad:</w:t>
      </w:r>
    </w:p>
    <w:p w:rsidR="009C5C58" w:rsidRDefault="009C5C58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Hypercoagulability 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高凝血狀態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9C5C58" w:rsidRDefault="009C5C58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Stasis of blood flow(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血流異常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9C5C58" w:rsidRDefault="009C5C58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Endothelial injury(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內皮損傷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9C5C58" w:rsidRDefault="009C5C58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以上要素導致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</w:rPr>
        <w:t>活化的血小板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聚集。這些血小板釋放含有促炎症介質的微粒。微粒與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Nneutrophils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結合，刺激它們釋放核物質並形成網狀的細胞外網絡，稱為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中性粒細胞胞外陷阱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(neutrophil extracellular traps, NETs)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。這些促血栓形成網絡含有組織蛋白，刺激血小板聚集並促進血小板依賴性凝血酶生成，最終導致血栓發生機會增加</w:t>
      </w:r>
    </w:p>
    <w:p w:rsidR="009C5C58" w:rsidRDefault="009C5C58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主要肺栓塞機制包括：</w:t>
      </w:r>
    </w:p>
    <w:p w:rsidR="009C5C58" w:rsidRDefault="009C5C58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肺部氧氣交換問題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:</w:t>
      </w:r>
    </w:p>
    <w:p w:rsidR="009C5C58" w:rsidRDefault="009C5C58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肺泡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動脈氧張力梯度增加</w:t>
      </w:r>
    </w:p>
    <w:p w:rsidR="009C5C58" w:rsidRDefault="009C5C58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通氣與灌流不匹配</w:t>
      </w:r>
    </w:p>
    <w:p w:rsidR="009C5C58" w:rsidRDefault="009C5C58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肺血管阻塞，導致肺血管阻力增加</w:t>
      </w:r>
    </w:p>
    <w:p w:rsidR="009C5C58" w:rsidRDefault="009C5C58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右心室負荷增加，可能引發右心衰竭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(CT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上可以看到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RV strain)</w:t>
      </w:r>
    </w:p>
    <w:p w:rsidR="009C5C58" w:rsidRDefault="009C5C58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心室間隔</w:t>
      </w:r>
      <w:r>
        <w:rPr>
          <w:rFonts w:ascii="微軟正黑體" w:eastAsia="微軟正黑體" w:hAnsi="微軟正黑體" w:cs="Calibri" w:hint="eastAsia"/>
          <w:sz w:val="22"/>
          <w:szCs w:val="22"/>
        </w:rPr>
        <w:t>(septum)</w:t>
      </w:r>
      <w:r>
        <w:rPr>
          <w:rFonts w:ascii="微軟正黑體" w:eastAsia="微軟正黑體" w:hAnsi="微軟正黑體" w:cs="Calibri" w:hint="eastAsia"/>
          <w:sz w:val="22"/>
          <w:szCs w:val="22"/>
        </w:rPr>
        <w:t>被往左推，導致左心室舒張充血功能不足</w:t>
      </w:r>
      <w:r>
        <w:rPr>
          <w:rFonts w:ascii="微軟正黑體" w:eastAsia="微軟正黑體" w:hAnsi="微軟正黑體" w:cs="Calibri" w:hint="eastAsia"/>
          <w:sz w:val="22"/>
          <w:szCs w:val="22"/>
        </w:rPr>
        <w:t>(diastolic LV dysfunciton)</w:t>
      </w:r>
    </w:p>
    <w:p w:rsidR="009C5C58" w:rsidRDefault="009C5C58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心臟輸出量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(cardiac </w:t>
      </w:r>
      <w:r>
        <w:rPr>
          <w:rFonts w:ascii="微軟正黑體" w:eastAsia="微軟正黑體" w:hAnsi="微軟正黑體" w:cs="Calibri" w:hint="eastAsia"/>
          <w:sz w:val="22"/>
          <w:szCs w:val="22"/>
        </w:rPr>
        <w:t>output)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下降，嚴重者可能出現血流動力學不穩定，導致休克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(obstructive shock)</w:t>
      </w:r>
    </w:p>
    <w:p w:rsidR="009C5C58" w:rsidRDefault="009C5C58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診斷</w:t>
      </w:r>
    </w:p>
    <w:p w:rsidR="009C5C58" w:rsidRDefault="009C5C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臨床評估工具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Wells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評分系統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：評估肺動脈栓塞的臨床可能性。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：可能出現非特異性變化，如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S1Q3T3 pattern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V1-V4 T wave inversion</w:t>
      </w:r>
    </w:p>
    <w:p w:rsidR="009C5C58" w:rsidRDefault="009C5C58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影像學檢查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胸腔電腦斷層血管攝影（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Chest CTA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）：診斷肺動脈栓塞的首選方法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。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肺臟血流灌注掃描（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Lung perfusion scan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：無法做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的替代選擇，或是如果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CTA negative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臨床仍懷疑可加做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下肢靜脈超音波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：檢查是否存在深靜脈血栓，但在已經發生肺栓塞的病人身上常常找不到血栓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已經打到其他地方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：評估右心室功能和肺動脈壓力。</w:t>
      </w:r>
    </w:p>
    <w:p w:rsidR="009C5C58" w:rsidRDefault="009C5C58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實驗室檢查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動脈血氣分析：可能顯示低氧血症。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檢測：若結果正常，可排除肺動脈栓塞；若升高，需進一步影像學檢查。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NT-proBNP: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RV strain </w:t>
      </w:r>
      <w:r>
        <w:rPr>
          <w:rFonts w:ascii="微軟正黑體" w:eastAsia="微軟正黑體" w:hAnsi="微軟正黑體" w:cs="Calibri" w:hint="eastAsia"/>
          <w:sz w:val="22"/>
          <w:szCs w:val="22"/>
        </w:rPr>
        <w:t>會牽張心壁肌肉導致</w:t>
      </w:r>
      <w:r>
        <w:rPr>
          <w:rFonts w:ascii="微軟正黑體" w:eastAsia="微軟正黑體" w:hAnsi="微軟正黑體" w:cs="Calibri" w:hint="eastAsia"/>
          <w:sz w:val="22"/>
          <w:szCs w:val="22"/>
        </w:rPr>
        <w:t>NT-BNP</w:t>
      </w:r>
      <w:r>
        <w:rPr>
          <w:rFonts w:ascii="微軟正黑體" w:eastAsia="微軟正黑體" w:hAnsi="微軟正黑體" w:cs="Calibri" w:hint="eastAsia"/>
          <w:sz w:val="22"/>
          <w:szCs w:val="22"/>
        </w:rPr>
        <w:t>分泌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Troponin-I: RV strain </w:t>
      </w:r>
      <w:r>
        <w:rPr>
          <w:rFonts w:ascii="微軟正黑體" w:eastAsia="微軟正黑體" w:hAnsi="微軟正黑體" w:cs="Calibri" w:hint="eastAsia"/>
          <w:sz w:val="22"/>
          <w:szCs w:val="22"/>
        </w:rPr>
        <w:t>還會壓迫到右冠狀動脈，導致右心室缺血</w:t>
      </w:r>
    </w:p>
    <w:p w:rsidR="009C5C58" w:rsidRDefault="009C5C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Well's criteria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63"/>
        <w:gridCol w:w="883"/>
      </w:tblGrid>
      <w:tr w:rsidR="00000000">
        <w:trPr>
          <w:divId w:val="1433209468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Assessment Item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Points</w:t>
            </w:r>
          </w:p>
        </w:tc>
      </w:tr>
      <w:tr w:rsidR="00000000">
        <w:trPr>
          <w:divId w:val="1433209468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Symptoms of Deep Vein Thrombosis (DVT) (e.g., unilateral leg swelling, pain)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433209468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is more likely than other diagnoses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433209468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Heart rate &gt; 100 bpm (tachycardia)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1433209468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Recent surgery or bed rest &gt; 3 days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1433209468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Previous history of DVT or PE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1433209468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1433209468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Malignancy (under treatment or treated within the past 6 months)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</w:tbl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156"/>
        <w:gridCol w:w="1305"/>
      </w:tblGrid>
      <w:tr w:rsidR="000000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1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likely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unlikely</w:t>
            </w:r>
          </w:p>
        </w:tc>
      </w:tr>
      <w:tr w:rsidR="000000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score</w:t>
            </w:r>
          </w:p>
        </w:tc>
        <w:tc>
          <w:tcPr>
            <w:tcW w:w="1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</w:p>
        </w:tc>
      </w:tr>
    </w:tbl>
    <w:p w:rsidR="009C5C58" w:rsidRDefault="009C5C58">
      <w:pPr>
        <w:numPr>
          <w:ilvl w:val="1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 likely: </w:t>
      </w:r>
      <w:r>
        <w:rPr>
          <w:rFonts w:ascii="微軟正黑體" w:eastAsia="微軟正黑體" w:hAnsi="微軟正黑體" w:cs="Calibri" w:hint="eastAsia"/>
          <w:sz w:val="22"/>
          <w:szCs w:val="22"/>
        </w:rPr>
        <w:t>直接排</w:t>
      </w:r>
      <w:r>
        <w:rPr>
          <w:rFonts w:ascii="微軟正黑體" w:eastAsia="微軟正黑體" w:hAnsi="微軟正黑體" w:cs="Calibri" w:hint="eastAsia"/>
          <w:sz w:val="22"/>
          <w:szCs w:val="22"/>
        </w:rPr>
        <w:t>Chest CTA</w:t>
      </w:r>
    </w:p>
    <w:p w:rsidR="009C5C58" w:rsidRDefault="009C5C58">
      <w:pPr>
        <w:numPr>
          <w:ilvl w:val="1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 unlikely: </w:t>
      </w:r>
      <w:r>
        <w:rPr>
          <w:rFonts w:ascii="微軟正黑體" w:eastAsia="微軟正黑體" w:hAnsi="微軟正黑體" w:cs="Calibri" w:hint="eastAsia"/>
          <w:sz w:val="22"/>
          <w:szCs w:val="22"/>
        </w:rPr>
        <w:t>測</w:t>
      </w:r>
      <w:r>
        <w:rPr>
          <w:rFonts w:ascii="微軟正黑體" w:eastAsia="微軟正黑體" w:hAnsi="微軟正黑體" w:cs="Calibri" w:hint="eastAsia"/>
          <w:sz w:val="22"/>
          <w:szCs w:val="22"/>
        </w:rPr>
        <w:t>d-dimer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negative </w:t>
      </w:r>
      <w:r>
        <w:rPr>
          <w:rFonts w:ascii="微軟正黑體" w:eastAsia="微軟正黑體" w:hAnsi="微軟正黑體" w:cs="Calibri" w:hint="eastAsia"/>
          <w:sz w:val="22"/>
          <w:szCs w:val="22"/>
        </w:rPr>
        <w:t>可排除</w:t>
      </w: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9C5C58" w:rsidRDefault="009C5C58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C5C58" w:rsidRDefault="009C5C58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C5C58" w:rsidRDefault="009C5C58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9C5C58" w:rsidRDefault="009C5C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治療方針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sz w:val="28"/>
          <w:szCs w:val="28"/>
        </w:rPr>
        <w:t>風險分級參考</w:t>
      </w:r>
      <w:r>
        <w:rPr>
          <w:rFonts w:ascii="微軟正黑體" w:eastAsia="微軟正黑體" w:hAnsi="微軟正黑體" w:cs="Calibri" w:hint="eastAsia"/>
          <w:sz w:val="28"/>
          <w:szCs w:val="28"/>
        </w:rPr>
        <w:t>PESI score)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高風險患者，建議進行主要再灌注治療，通常是全身性血栓溶解或血管取栓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中度風險患者，應住院治療並進行抗凝治療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低風險患者可考慮早期出院和居家治療</w:t>
      </w:r>
    </w:p>
    <w:p w:rsidR="009C5C58" w:rsidRDefault="009C5C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藥物治療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低分子量肝素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(LMWH)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普通肝素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(UFH)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維生素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拮抗劑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(VKAs)</w:t>
      </w:r>
    </w:p>
    <w:p w:rsidR="009C5C58" w:rsidRDefault="009C5C58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新型口服抗凝劑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(NOACs)</w:t>
      </w:r>
    </w:p>
    <w:p w:rsidR="009C5C58" w:rsidRDefault="009C5C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PESI(Pulmonary Embolism Severity Index)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4"/>
        <w:gridCol w:w="1110"/>
      </w:tblGrid>
      <w:tr w:rsidR="00000000">
        <w:trPr>
          <w:divId w:val="1713845970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評分項目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1713845970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年齡（歲）</w:t>
            </w:r>
          </w:p>
        </w:tc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=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年齡值</w:t>
            </w:r>
          </w:p>
        </w:tc>
      </w:tr>
      <w:tr w:rsidR="00000000">
        <w:trPr>
          <w:divId w:val="1713845970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1713845970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癌症（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Active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+30</w:t>
            </w:r>
          </w:p>
        </w:tc>
      </w:tr>
      <w:tr w:rsidR="00000000">
        <w:trPr>
          <w:divId w:val="1713845970"/>
        </w:trPr>
        <w:tc>
          <w:tcPr>
            <w:tcW w:w="3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Congestive heart failure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1713845970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慢性肺病（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lung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1713845970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110 bpm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1713845970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100 mmHg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+30</w:t>
            </w:r>
          </w:p>
        </w:tc>
      </w:tr>
      <w:tr w:rsidR="00000000">
        <w:trPr>
          <w:divId w:val="1713845970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呼吸頻率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 /min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1713845970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36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1713845970"/>
        </w:trPr>
        <w:tc>
          <w:tcPr>
            <w:tcW w:w="3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意識不清（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Altered mental status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+60</w:t>
            </w:r>
          </w:p>
        </w:tc>
      </w:tr>
      <w:tr w:rsidR="00000000">
        <w:trPr>
          <w:divId w:val="1713845970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血氧飽和度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90%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</w:tbl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4"/>
        <w:gridCol w:w="1207"/>
        <w:gridCol w:w="1423"/>
        <w:gridCol w:w="1786"/>
      </w:tblGrid>
      <w:tr w:rsidR="00000000"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PESI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總分範圍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風險等級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天死亡率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65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非常低風險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1.1%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3.1%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6.5%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IV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10.4%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V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&gt;125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非常高風險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5C58" w:rsidRDefault="009C5C58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24.5%</w:t>
            </w:r>
          </w:p>
        </w:tc>
      </w:tr>
    </w:tbl>
    <w:p w:rsidR="009C5C58" w:rsidRDefault="009C5C58">
      <w:pPr>
        <w:pStyle w:val="Web"/>
        <w:spacing w:before="120" w:beforeAutospacing="0" w:after="12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9C5C58" w:rsidRDefault="009C5C5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9C5C58" w:rsidRDefault="009C5C58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Harrison's principles of Internal Medicine</w:t>
      </w:r>
    </w:p>
    <w:p w:rsidR="009C5C58" w:rsidRDefault="009C5C58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The Task Force for the diagnosis and management of acute pulmonary embolism of the European Society of Cardiology (ESC), </w:t>
      </w:r>
      <w:r>
        <w:rPr>
          <w:rFonts w:ascii="Microsoft JhengHei Light" w:eastAsia="Microsoft JhengHei Light" w:hAnsi="Microsoft JhengHei Light" w:cs="Calibri" w:hint="eastAsia"/>
          <w:i/>
          <w:iCs/>
          <w:sz w:val="28"/>
          <w:szCs w:val="28"/>
        </w:rPr>
        <w:t>European Heart Journal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, Volume 41, Issue 4, 21 January 2020, Pages 543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–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603,</w:t>
      </w:r>
    </w:p>
    <w:p w:rsidR="009C5C58" w:rsidRDefault="009C5C58">
      <w:pPr>
        <w:pStyle w:val="Web"/>
        <w:spacing w:before="120" w:beforeAutospacing="0" w:after="120" w:afterAutospacing="0" w:line="30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5C58" w:rsidRDefault="009C5C58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C5C58" w:rsidRDefault="009C5C5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5C58" w:rsidRDefault="009C5C58" w:rsidP="009C5C58">
      <w:r>
        <w:separator/>
      </w:r>
    </w:p>
  </w:endnote>
  <w:endnote w:type="continuationSeparator" w:id="0">
    <w:p w:rsidR="009C5C58" w:rsidRDefault="009C5C58" w:rsidP="009C5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5C58" w:rsidRDefault="009C5C58" w:rsidP="009C5C58">
      <w:r>
        <w:separator/>
      </w:r>
    </w:p>
  </w:footnote>
  <w:footnote w:type="continuationSeparator" w:id="0">
    <w:p w:rsidR="009C5C58" w:rsidRDefault="009C5C58" w:rsidP="009C5C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43792"/>
    <w:multiLevelType w:val="multilevel"/>
    <w:tmpl w:val="990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8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58"/>
    <w:rsid w:val="009C5C58"/>
    <w:rsid w:val="00EB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900258-8ABB-48BD-850D-3A56FA4F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C5C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5C5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C5C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5C5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209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5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