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D1F3A" w:rsidRDefault="007D1F3A">
      <w:pPr>
        <w:pStyle w:val="Web"/>
        <w:spacing w:before="0" w:beforeAutospacing="0" w:after="0" w:afterAutospacing="0"/>
        <w:rPr>
          <w:rFonts w:ascii="Calibri Light" w:hAnsi="Calibri Light" w:cs="Calibri Light"/>
          <w:color w:val="000000"/>
          <w:sz w:val="40"/>
          <w:szCs w:val="40"/>
        </w:rPr>
      </w:pPr>
      <w:r>
        <w:rPr>
          <w:rFonts w:ascii="Calibri Light" w:hAnsi="Calibri Light" w:cs="Calibri Light"/>
          <w:color w:val="000000"/>
          <w:sz w:val="40"/>
          <w:szCs w:val="40"/>
        </w:rPr>
        <w:t>Cystic fibrosis</w:t>
      </w:r>
    </w:p>
    <w:p w:rsidR="007D1F3A" w:rsidRDefault="007D1F3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7D1F3A" w:rsidRDefault="007D1F3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12:03 AM</w:t>
      </w:r>
    </w:p>
    <w:p w:rsidR="007D1F3A" w:rsidRDefault="007D1F3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7D1F3A" w:rsidRDefault="007D1F3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7D1F3A" w:rsidRDefault="007D1F3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7D1F3A" w:rsidRDefault="007D1F3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7D1F3A" w:rsidRDefault="007D1F3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7D1F3A" w:rsidRDefault="007D1F3A">
      <w:pPr>
        <w:numPr>
          <w:ilvl w:val="3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7D1F3A" w:rsidRDefault="007D1F3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定義與遺傳背景（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Definition &amp; Genetics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54"/>
        <w:gridCol w:w="6132"/>
      </w:tblGrid>
      <w:tr w:rsidR="00000000">
        <w:trPr>
          <w:divId w:val="754473835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754473835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定義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囊腫性纖維化（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）為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體染色體隱性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遺傳疾病，影響多種外分泌組織，尤其是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肺、胰臟與腸道會產生濃稠黏性的黏液</w:t>
            </w:r>
          </w:p>
        </w:tc>
      </w:tr>
      <w:tr w:rsidR="00000000">
        <w:trPr>
          <w:divId w:val="754473835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致病基因</w:t>
            </w:r>
          </w:p>
        </w:tc>
        <w:tc>
          <w:tcPr>
            <w:tcW w:w="7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CFTR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Cystic Fibrosis Transmembrane Conductance Regulator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）突變，常見突變為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Delta F508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（美國佔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70%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754473835"/>
        </w:trPr>
        <w:tc>
          <w:tcPr>
            <w:tcW w:w="10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發病率</w:t>
            </w:r>
          </w:p>
        </w:tc>
        <w:tc>
          <w:tcPr>
            <w:tcW w:w="713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白人約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1/3300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，新生兒篩檢普及後多在出生後數月內確診</w:t>
            </w:r>
          </w:p>
        </w:tc>
      </w:tr>
    </w:tbl>
    <w:p w:rsidR="007D1F3A" w:rsidRDefault="007D1F3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病生理（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Pathophysiology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29"/>
        <w:gridCol w:w="5957"/>
      </w:tblGrid>
      <w:tr w:rsidR="00000000">
        <w:trPr>
          <w:divId w:val="616176136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機轉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616176136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位於上皮細胞頂端膜的氯與碳酸氫鹽通道，調控水分與電解質分泌</w:t>
            </w:r>
          </w:p>
        </w:tc>
      </w:tr>
      <w:tr w:rsidR="00000000">
        <w:trPr>
          <w:divId w:val="616176136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缺陷影響</w:t>
            </w:r>
          </w:p>
        </w:tc>
        <w:tc>
          <w:tcPr>
            <w:tcW w:w="70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PCL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periciliary liquid layer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）變薄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纖毛功能障礙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黏液堆積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感染與發炎惡性循環</w:t>
            </w:r>
          </w:p>
        </w:tc>
      </w:tr>
      <w:tr w:rsidR="00000000">
        <w:trPr>
          <w:divId w:val="616176136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氣道病變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肺部黏液濃稠，導致反覆肺部感染，引起慢性支氣管炎，支氣管擴張、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Pseudomonas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生物膜形成</w:t>
            </w:r>
          </w:p>
        </w:tc>
      </w:tr>
      <w:tr w:rsidR="00000000">
        <w:trPr>
          <w:divId w:val="616176136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腸胃道病變</w:t>
            </w:r>
          </w:p>
        </w:tc>
        <w:tc>
          <w:tcPr>
            <w:tcW w:w="707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胰臟和膽汁外分泌功能受阻、肝硬化、膽道阻塞、引起脂肪吸收不良，導致脂溶性維生素缺乏引起脂肪瀉</w:t>
            </w:r>
          </w:p>
        </w:tc>
      </w:tr>
      <w:tr w:rsidR="00000000">
        <w:trPr>
          <w:divId w:val="616176136"/>
        </w:trPr>
        <w:tc>
          <w:tcPr>
            <w:tcW w:w="12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系統性表現</w:t>
            </w:r>
          </w:p>
        </w:tc>
        <w:tc>
          <w:tcPr>
            <w:tcW w:w="69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無輸精管）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，女性生育能力下降（子宮頸黏液異常）</w:t>
            </w:r>
          </w:p>
        </w:tc>
      </w:tr>
    </w:tbl>
    <w:p w:rsidR="007D1F3A" w:rsidRDefault="007D1F3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臨床症狀（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Clinical Features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D1F3A" w:rsidRDefault="007D1F3A">
      <w:pPr>
        <w:pStyle w:val="Web"/>
        <w:spacing w:before="0" w:beforeAutospacing="0" w:after="0" w:afterAutospacing="0"/>
        <w:ind w:left="126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876800" cy="367665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1"/>
        <w:gridCol w:w="6075"/>
      </w:tblGrid>
      <w:tr w:rsidR="00000000">
        <w:trPr>
          <w:divId w:val="1312322751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系統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表現</w:t>
            </w:r>
          </w:p>
        </w:tc>
      </w:tr>
      <w:tr w:rsidR="00000000">
        <w:trPr>
          <w:divId w:val="1312322751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呼吸道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慢性咳嗽、反覆肺炎、支氣管擴張、鼻竇炎</w:t>
            </w:r>
          </w:p>
        </w:tc>
      </w:tr>
      <w:tr w:rsidR="00000000">
        <w:trPr>
          <w:divId w:val="1312322751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腸胃道</w:t>
            </w:r>
          </w:p>
        </w:tc>
        <w:tc>
          <w:tcPr>
            <w:tcW w:w="71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脂肪便、營養不良、維生素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缺乏、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成人）</w:t>
            </w:r>
          </w:p>
        </w:tc>
      </w:tr>
      <w:tr w:rsidR="00000000">
        <w:trPr>
          <w:divId w:val="1312322751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肝膽系統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肝硬化、膽管阻塞</w:t>
            </w:r>
          </w:p>
        </w:tc>
      </w:tr>
      <w:tr w:rsidR="00000000">
        <w:trPr>
          <w:divId w:val="1312322751"/>
        </w:trPr>
        <w:tc>
          <w:tcPr>
            <w:tcW w:w="1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生殖系統</w:t>
            </w:r>
          </w:p>
        </w:tc>
        <w:tc>
          <w:tcPr>
            <w:tcW w:w="70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男性不孕、女性黏液濃稠造成不孕</w:t>
            </w:r>
          </w:p>
        </w:tc>
      </w:tr>
      <w:tr w:rsidR="00000000">
        <w:trPr>
          <w:divId w:val="1312322751"/>
        </w:trPr>
        <w:tc>
          <w:tcPr>
            <w:tcW w:w="11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</w:t>
            </w:r>
          </w:p>
        </w:tc>
        <w:tc>
          <w:tcPr>
            <w:tcW w:w="70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胎便性腸阻塞（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meconium ileus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、小腸絞痛、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生長遲緩</w:t>
            </w:r>
          </w:p>
        </w:tc>
      </w:tr>
    </w:tbl>
    <w:p w:rsidR="007D1F3A" w:rsidRDefault="007D1F3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Diagnosis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40"/>
        <w:gridCol w:w="4546"/>
      </w:tblGrid>
      <w:tr w:rsidR="00000000">
        <w:trPr>
          <w:divId w:val="87622938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87622938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新生兒篩檢</w:t>
            </w:r>
          </w:p>
        </w:tc>
        <w:tc>
          <w:tcPr>
            <w:tcW w:w="48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歲前診斷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Trypsinogen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→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基因篩檢</w:t>
            </w:r>
          </w:p>
        </w:tc>
      </w:tr>
      <w:tr w:rsidR="00000000">
        <w:trPr>
          <w:divId w:val="87622938"/>
        </w:trPr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汗氯試驗（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sweat test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47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黃金標準，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</w:t>
            </w:r>
            <w:r>
              <w:rPr>
                <w:rFonts w:ascii="Cambria Math" w:hAnsi="Cambria Math"/>
                <w:sz w:val="22"/>
                <w:szCs w:val="22"/>
              </w:rPr>
              <w:t>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&gt; 60 mmol/L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高度支持診斷</w:t>
            </w:r>
          </w:p>
        </w:tc>
      </w:tr>
      <w:tr w:rsidR="00000000">
        <w:trPr>
          <w:divId w:val="87622938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基因檢測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尋找致病變異（如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87622938"/>
        </w:trPr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鼻黏膜電位差</w:t>
            </w:r>
          </w:p>
        </w:tc>
        <w:tc>
          <w:tcPr>
            <w:tcW w:w="47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可評估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CFTR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功能，用於疑難病例</w:t>
            </w:r>
          </w:p>
        </w:tc>
      </w:tr>
    </w:tbl>
    <w:p w:rsidR="007D1F3A" w:rsidRDefault="007D1F3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分子分型與治療靶點（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CFTR Mutation Classes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806"/>
        <w:gridCol w:w="2606"/>
        <w:gridCol w:w="1099"/>
        <w:gridCol w:w="2575"/>
      </w:tblGrid>
      <w:tr w:rsidR="00000000">
        <w:trPr>
          <w:divId w:val="12533940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類型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缺陷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舉例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治療</w:t>
            </w:r>
          </w:p>
        </w:tc>
      </w:tr>
      <w:tr w:rsidR="00000000">
        <w:trPr>
          <w:divId w:val="12533940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無蛋白合成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G542X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readthrough agents</w:t>
            </w:r>
          </w:p>
        </w:tc>
      </w:tr>
      <w:tr w:rsidR="00000000">
        <w:trPr>
          <w:divId w:val="12533940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蛋白錯誤摺疊（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11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</w:t>
            </w:r>
          </w:p>
        </w:tc>
        <w:tc>
          <w:tcPr>
            <w:tcW w:w="28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533940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III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通道不開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</w:p>
        </w:tc>
        <w:tc>
          <w:tcPr>
            <w:tcW w:w="27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Ivacaftor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  <w:tr w:rsidR="00000000">
        <w:trPr>
          <w:divId w:val="12533940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IV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通道傳導異常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R117H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</w:tr>
      <w:tr w:rsidR="00000000">
        <w:trPr>
          <w:divId w:val="12533940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</w:t>
            </w:r>
          </w:p>
        </w:tc>
        <w:tc>
          <w:tcPr>
            <w:tcW w:w="3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mRNA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剪接異常，蛋白量少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A455E</w:t>
            </w:r>
          </w:p>
        </w:tc>
        <w:tc>
          <w:tcPr>
            <w:tcW w:w="2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增加表現量</w:t>
            </w:r>
          </w:p>
        </w:tc>
      </w:tr>
      <w:tr w:rsidR="00000000">
        <w:trPr>
          <w:divId w:val="1253394006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VI</w:t>
            </w:r>
          </w:p>
        </w:tc>
        <w:tc>
          <w:tcPr>
            <w:tcW w:w="30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表面蛋白不穩定</w:t>
            </w:r>
          </w:p>
        </w:tc>
        <w:tc>
          <w:tcPr>
            <w:tcW w:w="11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</w:p>
        </w:tc>
        <w:tc>
          <w:tcPr>
            <w:tcW w:w="2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穩定化藥物</w:t>
            </w:r>
          </w:p>
        </w:tc>
      </w:tr>
    </w:tbl>
    <w:p w:rsidR="007D1F3A" w:rsidRDefault="007D1F3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Treatment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7D1F3A" w:rsidRDefault="007D1F3A">
      <w:pPr>
        <w:numPr>
          <w:ilvl w:val="2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支持性治療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99"/>
        <w:gridCol w:w="5687"/>
      </w:tblGrid>
      <w:tr w:rsidR="00000000">
        <w:trPr>
          <w:divId w:val="1035548109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藥物與策略</w:t>
            </w:r>
          </w:p>
        </w:tc>
      </w:tr>
      <w:tr w:rsidR="00000000">
        <w:trPr>
          <w:divId w:val="1035548109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促進痰液清除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物理排痰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、振盪背心、吸入性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Hypertonic saline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、吸入性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DNAse</w:t>
            </w:r>
          </w:p>
        </w:tc>
      </w:tr>
      <w:tr w:rsidR="00000000">
        <w:trPr>
          <w:divId w:val="1035548109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抗生素</w:t>
            </w:r>
          </w:p>
        </w:tc>
        <w:tc>
          <w:tcPr>
            <w:tcW w:w="66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吸入：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Tobramycin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；口服：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Azithromycin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（兼具抗菌與抗發炎）</w:t>
            </w:r>
          </w:p>
        </w:tc>
      </w:tr>
      <w:tr w:rsidR="00000000">
        <w:trPr>
          <w:divId w:val="1035548109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抗發炎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ICS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NSAIDs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、低劑量類固醇（需謹慎使用）</w:t>
            </w:r>
          </w:p>
        </w:tc>
      </w:tr>
      <w:tr w:rsidR="00000000">
        <w:trPr>
          <w:divId w:val="1035548109"/>
        </w:trPr>
        <w:tc>
          <w:tcPr>
            <w:tcW w:w="161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營養補充</w:t>
            </w:r>
          </w:p>
        </w:tc>
        <w:tc>
          <w:tcPr>
            <w:tcW w:w="655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胰酶、脂溶性維生素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ADEK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、熱量攝取</w:t>
            </w:r>
          </w:p>
        </w:tc>
      </w:tr>
      <w:tr w:rsidR="00000000">
        <w:trPr>
          <w:divId w:val="1035548109"/>
        </w:trPr>
        <w:tc>
          <w:tcPr>
            <w:tcW w:w="16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合併疾病管理</w:t>
            </w:r>
          </w:p>
        </w:tc>
        <w:tc>
          <w:tcPr>
            <w:tcW w:w="65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（類似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diabetes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）、骨質疏鬆</w:t>
            </w:r>
          </w:p>
        </w:tc>
      </w:tr>
    </w:tbl>
    <w:p w:rsidR="007D1F3A" w:rsidRDefault="007D1F3A">
      <w:pPr>
        <w:numPr>
          <w:ilvl w:val="1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針對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CFTR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的治療（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Modulators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72"/>
        <w:gridCol w:w="3454"/>
        <w:gridCol w:w="2260"/>
      </w:tblGrid>
      <w:tr w:rsidR="00000000">
        <w:trPr>
          <w:divId w:val="516968581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類型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藥物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適應症</w:t>
            </w:r>
          </w:p>
        </w:tc>
      </w:tr>
      <w:tr w:rsidR="00000000">
        <w:trPr>
          <w:divId w:val="516968581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Potentiator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Ivacaftor</w:t>
            </w:r>
          </w:p>
        </w:tc>
        <w:tc>
          <w:tcPr>
            <w:tcW w:w="34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G551D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Class III</w:t>
            </w:r>
          </w:p>
        </w:tc>
      </w:tr>
      <w:tr w:rsidR="00000000">
        <w:trPr>
          <w:divId w:val="516968581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Corrector</w:t>
            </w:r>
          </w:p>
        </w:tc>
        <w:tc>
          <w:tcPr>
            <w:tcW w:w="32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Lumacaftor + Ivacaftor</w:t>
            </w:r>
          </w:p>
        </w:tc>
        <w:tc>
          <w:tcPr>
            <w:tcW w:w="34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F508del/F508del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（雙等位）</w:t>
            </w:r>
          </w:p>
        </w:tc>
      </w:tr>
      <w:tr w:rsidR="00000000">
        <w:trPr>
          <w:divId w:val="516968581"/>
        </w:trPr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三重療法</w:t>
            </w:r>
          </w:p>
        </w:tc>
        <w:tc>
          <w:tcPr>
            <w:tcW w:w="33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Elexacaftor/Tezacaftor/Ivacaftor</w:t>
            </w:r>
          </w:p>
        </w:tc>
        <w:tc>
          <w:tcPr>
            <w:tcW w:w="35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現今治療標準，可針對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以上的病患</w:t>
            </w:r>
          </w:p>
        </w:tc>
      </w:tr>
    </w:tbl>
    <w:p w:rsidR="007D1F3A" w:rsidRDefault="007D1F3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 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併發症（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Complications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tbl>
      <w:tblPr>
        <w:tblW w:w="0" w:type="auto"/>
        <w:tblInd w:w="120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33"/>
        <w:gridCol w:w="6053"/>
      </w:tblGrid>
      <w:tr w:rsidR="00000000">
        <w:trPr>
          <w:divId w:val="2125419871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類別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</w:tr>
      <w:tr w:rsidR="00000000">
        <w:trPr>
          <w:divId w:val="2125419871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感染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常見：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P. aeruginosa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（尤其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mucoid strain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Burkholderia cepacia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（預後差）</w:t>
            </w:r>
          </w:p>
        </w:tc>
      </w:tr>
      <w:tr w:rsidR="00000000">
        <w:trPr>
          <w:divId w:val="2125419871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呼吸惡化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頻繁急性發作，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FEV1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每年下降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3%</w:t>
            </w:r>
          </w:p>
        </w:tc>
      </w:tr>
      <w:tr w:rsidR="00000000">
        <w:trPr>
          <w:divId w:val="2125419871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血糖異常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CF-related diabetes</w:t>
            </w:r>
          </w:p>
        </w:tc>
      </w:tr>
      <w:tr w:rsidR="00000000">
        <w:trPr>
          <w:divId w:val="2125419871"/>
        </w:trPr>
        <w:tc>
          <w:tcPr>
            <w:tcW w:w="1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肺部</w:t>
            </w:r>
          </w:p>
        </w:tc>
        <w:tc>
          <w:tcPr>
            <w:tcW w:w="70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大咯血、氣胸、支氣管擴張</w:t>
            </w:r>
          </w:p>
        </w:tc>
      </w:tr>
      <w:tr w:rsidR="00000000">
        <w:trPr>
          <w:divId w:val="2125419871"/>
        </w:trPr>
        <w:tc>
          <w:tcPr>
            <w:tcW w:w="1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移植考量</w:t>
            </w:r>
          </w:p>
        </w:tc>
        <w:tc>
          <w:tcPr>
            <w:tcW w:w="704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7D1F3A" w:rsidRDefault="007D1F3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FEV1 &lt;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，考慮肺移植（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年存活率約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</w:tr>
    </w:tbl>
    <w:p w:rsidR="007D1F3A" w:rsidRDefault="007D1F3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7D1F3A" w:rsidRDefault="007D1F3A">
      <w:pPr>
        <w:pStyle w:val="Web"/>
        <w:spacing w:before="0" w:beforeAutospacing="0" w:after="0" w:afterAutospacing="0"/>
        <w:ind w:left="126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REFERENCES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Harrisons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Boards and beyonds</w:t>
      </w:r>
    </w:p>
    <w:p w:rsidR="007D1F3A" w:rsidRDefault="007D1F3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https://commons.wikimedia.org/wiki/File:Cystic_fibrosis_manifestations.svg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D1F3A" w:rsidRDefault="007D1F3A" w:rsidP="007D1F3A">
      <w:r>
        <w:separator/>
      </w:r>
    </w:p>
  </w:endnote>
  <w:endnote w:type="continuationSeparator" w:id="0">
    <w:p w:rsidR="007D1F3A" w:rsidRDefault="007D1F3A" w:rsidP="007D1F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D1F3A" w:rsidRDefault="007D1F3A" w:rsidP="007D1F3A">
      <w:r>
        <w:separator/>
      </w:r>
    </w:p>
  </w:footnote>
  <w:footnote w:type="continuationSeparator" w:id="0">
    <w:p w:rsidR="007D1F3A" w:rsidRDefault="007D1F3A" w:rsidP="007D1F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FB70CF"/>
    <w:multiLevelType w:val="multilevel"/>
    <w:tmpl w:val="7BF25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2873730">
    <w:abstractNumId w:val="0"/>
  </w:num>
  <w:num w:numId="2" w16cid:durableId="814370786">
    <w:abstractNumId w:val="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F3A"/>
    <w:rsid w:val="00652DDE"/>
    <w:rsid w:val="007D1F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FE2099AC-9E58-46A5-8580-FD53A0DA6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7D1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7D1F3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7D1F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7D1F3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6229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96858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761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4738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54810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940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2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1987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.wikimedia.org/wiki/File:Cystic_fibrosis_manifestations.svg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314</Words>
  <Characters>1793</Characters>
  <Application>Microsoft Office Word</Application>
  <DocSecurity>0</DocSecurity>
  <Lines>14</Lines>
  <Paragraphs>4</Paragraphs>
  <ScaleCrop>false</ScaleCrop>
  <Company/>
  <LinksUpToDate>false</LinksUpToDate>
  <CharactersWithSpaces>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2025-07-27T10:04:00Z</dcterms:created>
  <dcterms:modified xsi:type="dcterms:W3CDTF">2025-07-27T10:04:00Z</dcterms:modified>
</cp:coreProperties>
</file>