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0D01" w:rsidRDefault="00320D01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SOFA</w:t>
      </w:r>
    </w:p>
    <w:p w:rsidR="00320D01" w:rsidRDefault="00320D0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320D01" w:rsidRDefault="00320D0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12:06 AM</w:t>
      </w:r>
    </w:p>
    <w:p w:rsidR="00320D01" w:rsidRDefault="00320D0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20D01" w:rsidRDefault="00320D0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320D01" w:rsidRDefault="00320D0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320D01" w:rsidRDefault="00320D0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320D01" w:rsidRDefault="00320D0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320D01" w:rsidRDefault="00320D0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320D01" w:rsidRDefault="00320D0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320D01" w:rsidRDefault="00320D01">
      <w:pPr>
        <w:numPr>
          <w:ilvl w:val="1"/>
          <w:numId w:val="1"/>
        </w:numPr>
        <w:spacing w:line="5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SOFA score</w:t>
      </w:r>
    </w:p>
    <w:p w:rsidR="00320D01" w:rsidRDefault="00320D01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SOFA (Sequential Organ Failure Assessment) score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是評估重症病人器官功能障礙程度的評分系統，用於預測敗血症病人的預後和死亡率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41"/>
        <w:gridCol w:w="762"/>
        <w:gridCol w:w="734"/>
        <w:gridCol w:w="1547"/>
        <w:gridCol w:w="1360"/>
        <w:gridCol w:w="1322"/>
      </w:tblGrid>
      <w:tr w:rsidR="00000000">
        <w:trPr>
          <w:divId w:val="76680962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Organ system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0 pts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 pt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 pts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3 pts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4 pts</w:t>
            </w:r>
          </w:p>
        </w:tc>
      </w:tr>
      <w:tr w:rsidR="00000000">
        <w:trPr>
          <w:divId w:val="76680962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Respiratory</w:t>
            </w:r>
          </w:p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/FiO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(mm Hg)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 xml:space="preserve"> 400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400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300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200 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and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ventilated</w:t>
            </w:r>
          </w:p>
        </w:tc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100 </w:t>
            </w:r>
            <w:r>
              <w:rPr>
                <w:rFonts w:ascii="微軟正黑體" w:eastAsia="微軟正黑體" w:hAnsi="微軟正黑體" w:hint="eastAsia"/>
                <w:i/>
                <w:iCs/>
                <w:sz w:val="22"/>
                <w:szCs w:val="22"/>
              </w:rPr>
              <w:t>and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ventilated </w:t>
            </w:r>
          </w:p>
        </w:tc>
      </w:tr>
      <w:tr w:rsidR="00000000">
        <w:trPr>
          <w:divId w:val="76680962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Coagulation</w:t>
            </w:r>
          </w:p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Platelets(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⁹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/L)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 xml:space="preserve"> 150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150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100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50</w:t>
            </w:r>
          </w:p>
        </w:tc>
        <w:tc>
          <w:tcPr>
            <w:tcW w:w="130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20 </w:t>
            </w:r>
          </w:p>
        </w:tc>
      </w:tr>
      <w:tr w:rsidR="00000000">
        <w:trPr>
          <w:divId w:val="76680962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Liver</w:t>
            </w:r>
          </w:p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Total bilirubin (mg/dL [µmol/L])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1.2 </w:t>
            </w:r>
          </w:p>
        </w:tc>
        <w:tc>
          <w:tcPr>
            <w:tcW w:w="1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1.9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5.9 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11.9 </w:t>
            </w:r>
          </w:p>
        </w:tc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 xml:space="preserve"> 12 </w:t>
            </w:r>
          </w:p>
        </w:tc>
      </w:tr>
      <w:tr w:rsidR="00000000">
        <w:trPr>
          <w:divId w:val="76680962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Cardiovascular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MAP 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70 mm Hg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MAP &lt; 70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Dopamine 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5 µg/kg/min or Dobutamine any dose</w:t>
            </w:r>
          </w:p>
        </w:tc>
        <w:tc>
          <w:tcPr>
            <w:tcW w:w="171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Dopamine &gt; 5 or NE/Epi 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0.1 µg/kg/min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Dopamine &gt; 15 or NE/Epi &gt; 0.1 µg/kg/min </w:t>
            </w:r>
          </w:p>
        </w:tc>
      </w:tr>
      <w:tr w:rsidR="00000000">
        <w:trPr>
          <w:divId w:val="76680962"/>
        </w:trPr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lastRenderedPageBreak/>
              <w:t>CNS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Glasgow Coma Scale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</w:p>
        </w:tc>
        <w:tc>
          <w:tcPr>
            <w:tcW w:w="10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14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</w:t>
            </w:r>
          </w:p>
        </w:tc>
        <w:tc>
          <w:tcPr>
            <w:tcW w:w="11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 xml:space="preserve"> 5 </w:t>
            </w:r>
          </w:p>
        </w:tc>
      </w:tr>
      <w:tr w:rsidR="00000000">
        <w:trPr>
          <w:divId w:val="76680962"/>
        </w:trPr>
        <w:tc>
          <w:tcPr>
            <w:tcW w:w="1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Renal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Creatinine (mg/dL [µmol/L])-or- Urine output</w:t>
            </w:r>
          </w:p>
        </w:tc>
        <w:tc>
          <w:tcPr>
            <w:tcW w:w="11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&lt; 1.2 </w:t>
            </w:r>
          </w:p>
        </w:tc>
        <w:tc>
          <w:tcPr>
            <w:tcW w:w="1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1.2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1.9 </w:t>
            </w:r>
          </w:p>
        </w:tc>
        <w:tc>
          <w:tcPr>
            <w:tcW w:w="19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2.0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3.4 </w:t>
            </w:r>
          </w:p>
        </w:tc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3.5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4.9  or  UO &lt; 500 mL/d</w:t>
            </w:r>
          </w:p>
        </w:tc>
        <w:tc>
          <w:tcPr>
            <w:tcW w:w="15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sz w:val="22"/>
                <w:szCs w:val="22"/>
              </w:rPr>
              <w:t xml:space="preserve"> 5.0  or  UO &lt; 200 mL/d </w:t>
            </w:r>
          </w:p>
        </w:tc>
      </w:tr>
    </w:tbl>
    <w:p w:rsidR="00320D01" w:rsidRDefault="00320D01">
      <w:pPr>
        <w:numPr>
          <w:ilvl w:val="1"/>
          <w:numId w:val="1"/>
        </w:numPr>
        <w:textAlignment w:val="center"/>
        <w:divId w:val="953247858"/>
        <w:rPr>
          <w:rFonts w:ascii="Calibri" w:hAnsi="Calibri" w:cs="Calibri" w:hint="eastAsia"/>
          <w:sz w:val="22"/>
          <w:szCs w:val="22"/>
        </w:rPr>
      </w:pPr>
    </w:p>
    <w:tbl>
      <w:tblPr>
        <w:tblW w:w="0" w:type="auto"/>
        <w:tblInd w:w="14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88"/>
        <w:gridCol w:w="1568"/>
      </w:tblGrid>
      <w:tr w:rsidR="00000000">
        <w:trPr>
          <w:divId w:val="953247858"/>
        </w:trPr>
        <w:tc>
          <w:tcPr>
            <w:tcW w:w="14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Total score</w:t>
            </w:r>
          </w:p>
        </w:tc>
        <w:tc>
          <w:tcPr>
            <w:tcW w:w="15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Mortality (%)</w:t>
            </w:r>
          </w:p>
        </w:tc>
      </w:tr>
      <w:tr w:rsidR="00000000">
        <w:trPr>
          <w:divId w:val="953247858"/>
        </w:trPr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</w:p>
        </w:tc>
        <w:tc>
          <w:tcPr>
            <w:tcW w:w="1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10 %</w:t>
            </w:r>
          </w:p>
        </w:tc>
      </w:tr>
      <w:tr w:rsidR="00000000">
        <w:trPr>
          <w:divId w:val="953247858"/>
        </w:trPr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</w:t>
            </w:r>
          </w:p>
        </w:tc>
        <w:tc>
          <w:tcPr>
            <w:tcW w:w="1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20 %</w:t>
            </w:r>
          </w:p>
        </w:tc>
      </w:tr>
      <w:tr w:rsidR="00000000">
        <w:trPr>
          <w:divId w:val="953247858"/>
        </w:trPr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</w:t>
            </w:r>
          </w:p>
        </w:tc>
        <w:tc>
          <w:tcPr>
            <w:tcW w:w="1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~40 %</w:t>
            </w:r>
          </w:p>
        </w:tc>
      </w:tr>
      <w:tr w:rsidR="00000000">
        <w:trPr>
          <w:divId w:val="953247858"/>
        </w:trPr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15</w:t>
            </w:r>
          </w:p>
        </w:tc>
        <w:tc>
          <w:tcPr>
            <w:tcW w:w="1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60 %</w:t>
            </w:r>
          </w:p>
        </w:tc>
      </w:tr>
      <w:tr w:rsidR="00000000">
        <w:trPr>
          <w:divId w:val="953247858"/>
        </w:trPr>
        <w:tc>
          <w:tcPr>
            <w:tcW w:w="14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 15</w:t>
            </w:r>
          </w:p>
        </w:tc>
        <w:tc>
          <w:tcPr>
            <w:tcW w:w="1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&gt; 80 % </w:t>
            </w:r>
          </w:p>
        </w:tc>
      </w:tr>
    </w:tbl>
    <w:p w:rsidR="00320D01" w:rsidRDefault="00320D01">
      <w:pPr>
        <w:pStyle w:val="Web"/>
        <w:spacing w:before="120" w:beforeAutospacing="0" w:after="120" w:afterAutospacing="0" w:line="240" w:lineRule="atLeast"/>
        <w:ind w:left="720"/>
        <w:rPr>
          <w:rFonts w:ascii="微軟正黑體" w:eastAsia="微軟正黑體" w:hAnsi="微軟正黑體" w:cs="Calibri" w:hint="eastAsia"/>
          <w:color w:val="262626"/>
          <w:sz w:val="18"/>
          <w:szCs w:val="18"/>
        </w:rPr>
      </w:pPr>
      <w:r>
        <w:rPr>
          <w:rFonts w:ascii="微軟正黑體" w:eastAsia="微軟正黑體" w:hAnsi="微軟正黑體" w:cs="Calibri" w:hint="eastAsia"/>
          <w:color w:val="262626"/>
          <w:sz w:val="18"/>
          <w:szCs w:val="18"/>
        </w:rPr>
        <w:t> </w:t>
      </w:r>
    </w:p>
    <w:p w:rsidR="00320D01" w:rsidRDefault="00320D01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討論</w:t>
      </w:r>
    </w:p>
    <w:p w:rsidR="00320D01" w:rsidRDefault="00320D01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由六個器官系統的評分組成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，每個系統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0-4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分，總分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分，懷疑感染且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SOFA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分數從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baseline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增加</w:t>
      </w:r>
      <w:r>
        <w:rPr>
          <w:rFonts w:ascii="Cambria Math" w:hAnsi="Cambria Math" w:cs="Calibri"/>
          <w:color w:val="262626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分時，可診斷為敗血症</w:t>
      </w:r>
    </w:p>
    <w:p w:rsidR="00320D01" w:rsidRDefault="00320D01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建議每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24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小時評估一次，危重患者可能需要更頻繁評估</w:t>
      </w:r>
    </w:p>
    <w:p w:rsidR="00320D01" w:rsidRDefault="00320D01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動態變化比單次評分更有意義</w:t>
      </w:r>
    </w:p>
    <w:p w:rsidR="00320D01" w:rsidRDefault="00320D01">
      <w:pPr>
        <w:pStyle w:val="Web"/>
        <w:spacing w:before="0" w:beforeAutospacing="0" w:after="0" w:afterAutospacing="0" w:line="300" w:lineRule="atLeast"/>
        <w:ind w:left="720"/>
        <w:rPr>
          <w:rFonts w:ascii="微軟正黑體" w:eastAsia="微軟正黑體" w:hAnsi="微軟正黑體" w:cs="Calibri"/>
          <w:color w:val="26262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 </w:t>
      </w:r>
    </w:p>
    <w:p w:rsidR="00320D01" w:rsidRDefault="00320D01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qSOFA score</w:t>
      </w:r>
    </w:p>
    <w:p w:rsidR="00320D01" w:rsidRDefault="00320D01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qSOFA (quick Sequential Organ Failure Assessment)</w:t>
      </w:r>
    </w:p>
    <w:p w:rsidR="00320D01" w:rsidRDefault="00320D01">
      <w:pPr>
        <w:numPr>
          <w:ilvl w:val="3"/>
          <w:numId w:val="1"/>
        </w:numPr>
        <w:textAlignment w:val="center"/>
        <w:divId w:val="1676496551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28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4182"/>
        <w:gridCol w:w="965"/>
      </w:tblGrid>
      <w:tr w:rsidR="00000000">
        <w:trPr>
          <w:divId w:val="1676496551"/>
        </w:trPr>
        <w:tc>
          <w:tcPr>
            <w:tcW w:w="4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qSOFA Criteria</w:t>
            </w:r>
          </w:p>
        </w:tc>
        <w:tc>
          <w:tcPr>
            <w:tcW w:w="9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Score</w:t>
            </w:r>
          </w:p>
        </w:tc>
      </w:tr>
      <w:tr w:rsidR="00000000">
        <w:trPr>
          <w:divId w:val="1676496551"/>
        </w:trPr>
        <w:tc>
          <w:tcPr>
            <w:tcW w:w="4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Respiratory rate 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22/min</w:t>
            </w:r>
          </w:p>
        </w:tc>
        <w:tc>
          <w:tcPr>
            <w:tcW w:w="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 point</w:t>
            </w:r>
          </w:p>
        </w:tc>
      </w:tr>
      <w:tr w:rsidR="00000000">
        <w:trPr>
          <w:divId w:val="1676496551"/>
        </w:trPr>
        <w:tc>
          <w:tcPr>
            <w:tcW w:w="41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Altered mentation (GCS &lt; 15)</w:t>
            </w:r>
          </w:p>
        </w:tc>
        <w:tc>
          <w:tcPr>
            <w:tcW w:w="96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 point</w:t>
            </w:r>
          </w:p>
        </w:tc>
      </w:tr>
      <w:tr w:rsidR="00000000">
        <w:trPr>
          <w:divId w:val="1676496551"/>
        </w:trPr>
        <w:tc>
          <w:tcPr>
            <w:tcW w:w="41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Systolic blood pressure </w:t>
            </w:r>
            <w:r>
              <w:rPr>
                <w:rFonts w:ascii="Cambria Math" w:eastAsia="微軟正黑體" w:hAnsi="Cambria Math" w:cs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100 mm Hg</w:t>
            </w:r>
          </w:p>
        </w:tc>
        <w:tc>
          <w:tcPr>
            <w:tcW w:w="9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320D01" w:rsidRDefault="00320D01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 point</w:t>
            </w:r>
          </w:p>
        </w:tc>
      </w:tr>
    </w:tbl>
    <w:p w:rsidR="00320D01" w:rsidRDefault="00320D01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32"/>
          <w:szCs w:val="32"/>
        </w:rPr>
        <w:t>討論</w:t>
      </w:r>
    </w:p>
    <w:p w:rsidR="00320D01" w:rsidRDefault="00320D01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總分</w:t>
      </w:r>
      <w:r>
        <w:rPr>
          <w:rFonts w:ascii="微軟正黑體" w:eastAsia="微軟正黑體" w:hAnsi="微軟正黑體" w:cs="Calibri" w:hint="eastAsia"/>
          <w:sz w:val="28"/>
          <w:szCs w:val="28"/>
        </w:rPr>
        <w:t>0-3</w:t>
      </w:r>
      <w:r>
        <w:rPr>
          <w:rFonts w:ascii="微軟正黑體" w:eastAsia="微軟正黑體" w:hAnsi="微軟正黑體" w:cs="Calibri" w:hint="eastAsia"/>
          <w:sz w:val="28"/>
          <w:szCs w:val="28"/>
        </w:rPr>
        <w:t>分，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 xml:space="preserve">qSOFA </w:t>
      </w:r>
      <w:r>
        <w:rPr>
          <w:rFonts w:ascii="Cambria Math" w:hAnsi="Cambria Math" w:cs="Calibri"/>
          <w:color w:val="2E75B5"/>
          <w:sz w:val="28"/>
          <w:szCs w:val="28"/>
        </w:rPr>
        <w:t>≥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2</w:t>
      </w:r>
      <w:r>
        <w:rPr>
          <w:rFonts w:ascii="微軟正黑體" w:eastAsia="微軟正黑體" w:hAnsi="微軟正黑體" w:cs="Calibri" w:hint="eastAsia"/>
          <w:sz w:val="28"/>
          <w:szCs w:val="28"/>
        </w:rPr>
        <w:t>分表示高風險，需要考慮敗血症的可能，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需進一步評估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SOFA socre</w:t>
      </w:r>
    </w:p>
    <w:p w:rsidR="00320D01" w:rsidRDefault="00320D01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使用時機：</w:t>
      </w:r>
    </w:p>
    <w:p w:rsidR="00320D01" w:rsidRDefault="00320D01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急診部門、一般病房初步評估</w:t>
      </w:r>
    </w:p>
    <w:p w:rsidR="00320D01" w:rsidRDefault="00320D01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任何懷疑感染的患者</w:t>
      </w:r>
    </w:p>
    <w:p w:rsidR="00320D01" w:rsidRDefault="00320D01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320D01" w:rsidRDefault="00320D01">
      <w:pPr>
        <w:numPr>
          <w:ilvl w:val="1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Reference</w:t>
      </w:r>
    </w:p>
    <w:p w:rsidR="00320D01" w:rsidRDefault="00320D01">
      <w:pPr>
        <w:numPr>
          <w:ilvl w:val="2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Harrison's principles</w:t>
      </w:r>
    </w:p>
    <w:p w:rsidR="00320D01" w:rsidRDefault="00320D01">
      <w:pPr>
        <w:pStyle w:val="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20D01" w:rsidRDefault="00320D01" w:rsidP="00320D01">
      <w:r>
        <w:separator/>
      </w:r>
    </w:p>
  </w:endnote>
  <w:endnote w:type="continuationSeparator" w:id="0">
    <w:p w:rsidR="00320D01" w:rsidRDefault="00320D01" w:rsidP="00320D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20D01" w:rsidRDefault="00320D01" w:rsidP="00320D01">
      <w:r>
        <w:separator/>
      </w:r>
    </w:p>
  </w:footnote>
  <w:footnote w:type="continuationSeparator" w:id="0">
    <w:p w:rsidR="00320D01" w:rsidRDefault="00320D01" w:rsidP="00320D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79EC"/>
    <w:multiLevelType w:val="multilevel"/>
    <w:tmpl w:val="50A08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808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D01"/>
    <w:rsid w:val="00320D01"/>
    <w:rsid w:val="005B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0729E69-2319-4646-8AC6-A8DF75539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320D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20D0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320D0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20D0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80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7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65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2025-07-27T10:06:00Z</dcterms:created>
  <dcterms:modified xsi:type="dcterms:W3CDTF">2025-07-27T10:06:00Z</dcterms:modified>
</cp:coreProperties>
</file>