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6DD" w:rsidRDefault="002C06D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高血脂</w:t>
      </w:r>
    </w:p>
    <w:p w:rsidR="002C06DD" w:rsidRDefault="002C06D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2C06DD" w:rsidRDefault="002C06D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5:58 PM</w:t>
      </w:r>
    </w:p>
    <w:p w:rsidR="002C06DD" w:rsidRDefault="002C06D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C06DD" w:rsidRDefault="002C06DD">
      <w:pPr>
        <w:numPr>
          <w:ilvl w:val="0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06DD" w:rsidRDefault="002C06D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血脂異常：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Total cholesterol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LDL-C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triglyceride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升高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HDL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2C06DD" w:rsidRDefault="002C06D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是主要的致動脈粥狀硬化膽固醇，與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（動脈粥狀硬化性心血管疾病，如冠狀動脈疾病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、腦中風）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相關。</w:t>
      </w:r>
    </w:p>
    <w:p w:rsidR="002C06DD" w:rsidRDefault="002C06DD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2C06DD" w:rsidRDefault="002C06DD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06DD" w:rsidRDefault="002C06D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根據中華民國血脂及動脈硬化學會</w:t>
      </w:r>
      <w:r>
        <w:rPr>
          <w:rFonts w:ascii="微軟正黑體" w:eastAsia="微軟正黑體" w:hAnsi="微軟正黑體" w:cs="Calibri" w:hint="eastAsia"/>
          <w:sz w:val="28"/>
          <w:szCs w:val="28"/>
        </w:rPr>
        <w:t>2022</w:t>
      </w:r>
      <w:r>
        <w:rPr>
          <w:rFonts w:ascii="微軟正黑體" w:eastAsia="微軟正黑體" w:hAnsi="微軟正黑體" w:cs="Calibri" w:hint="eastAsia"/>
          <w:sz w:val="28"/>
          <w:szCs w:val="28"/>
        </w:rPr>
        <w:t>年指引：</w:t>
      </w:r>
    </w:p>
    <w:p w:rsidR="002C06DD" w:rsidRDefault="002C06DD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高血脂症在台灣的流行病學資料顯示，隨著生活方式的改變以及人口老化，心血管疾病的風險逐年上升。在成人中，約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以上的人群存在某種形式的高血脂（例如：高總膽固醇、高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HDL-C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或高三酸甘油酯），並且這一比例隨著年齡的增長而上升。</w:t>
      </w:r>
    </w:p>
    <w:p w:rsidR="002C06DD" w:rsidRDefault="002C06DD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男性通常在較年輕的年齡段出現高血脂問題，而女性則多見於更年期後，這是由於女性在更年期後，隨著雌激素水平下降，對心血管的保護作用減弱，導致膽固醇水平的升高。</w:t>
      </w:r>
    </w:p>
    <w:p w:rsidR="002C06DD" w:rsidRDefault="002C06DD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高血脂與多種心血管疾病密切相關，包括冠狀動脈疾病（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）、外周動脈疾病（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）、缺血性中風（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Ischemic 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）等。</w:t>
      </w:r>
    </w:p>
    <w:p w:rsidR="002C06DD" w:rsidRDefault="002C06DD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研究顯示，患有高血脂的個體，其心血管事件的風險大大增加，且對高風險群體（如糖尿病、吸煙者、高血壓者）的影響尤為顯著。</w:t>
      </w:r>
    </w:p>
    <w:p w:rsidR="002C06DD" w:rsidRDefault="002C06DD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C06DD" w:rsidRDefault="002C06DD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Lipoprotein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類別與功能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8"/>
        <w:gridCol w:w="1642"/>
        <w:gridCol w:w="1908"/>
        <w:gridCol w:w="1788"/>
      </w:tblGrid>
      <w:tr w:rsidR="00000000">
        <w:trPr>
          <w:divId w:val="99688080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Lipoprotein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主要成分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關鍵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Apoprotein</w:t>
            </w:r>
          </w:p>
        </w:tc>
      </w:tr>
      <w:tr w:rsidR="00000000">
        <w:trPr>
          <w:divId w:val="99688080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Chylomicrons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攜帶飲食脂肪（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）從腸道到肝臟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99688080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 (Very-Low-Density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肝臟合成，運輸內源性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到周邊組織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99688080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IDL (Intermediate-Density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代謝中間產物，可轉換為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996880801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(Low-Density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Cholesterol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運輸膽固醇至周邊組織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</w:p>
        </w:tc>
      </w:tr>
      <w:tr w:rsidR="00000000">
        <w:trPr>
          <w:divId w:val="99688080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 (High-Density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反向膽固醇運輸，將膽固醇帶回肝臟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ApoA-II</w:t>
            </w:r>
          </w:p>
        </w:tc>
      </w:tr>
    </w:tbl>
    <w:p w:rsidR="002C06DD" w:rsidRDefault="002C06DD">
      <w:pPr>
        <w:pStyle w:val="3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C06DD" w:rsidRDefault="002C06DD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06DD" w:rsidRDefault="002C06DD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動脈粥樣硬化：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會積聚於血管壁內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，形成動脈粥樣硬化斑塊，進一步引發血管狹窄或閉塞，影響血流，增加心血管事件風險（心肌梗死、缺血性中風）。</w:t>
      </w:r>
    </w:p>
    <w:p w:rsidR="002C06DD" w:rsidRDefault="002C06DD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低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：低密度脂蛋白膽固醇（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）具有反向膽固醇運輸作用，幫助清除血管內的膽固醇。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水平低時，會加重心血管風險。</w:t>
      </w:r>
    </w:p>
    <w:p w:rsidR="002C06DD" w:rsidRDefault="002C06DD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高三酸甘油酯（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與心血管疾病風險相關，尤其是與動脈粥樣硬化密切關聯。高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還可能引發急性胰臟炎。</w:t>
      </w:r>
    </w:p>
    <w:p w:rsidR="002C06DD" w:rsidRDefault="002C06D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C06DD" w:rsidRDefault="002C06DD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</w:t>
      </w:r>
    </w:p>
    <w:p w:rsidR="002C06DD" w:rsidRDefault="002C06DD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Primary</w:t>
      </w:r>
      <w:r>
        <w:rPr>
          <w:rFonts w:ascii="微軟正黑體" w:eastAsia="微軟正黑體" w:hAnsi="微軟正黑體" w:cs="Calibri" w:hint="eastAsia"/>
          <w:sz w:val="28"/>
          <w:szCs w:val="28"/>
        </w:rPr>
        <w:t>（原發性，遺傳性）</w:t>
      </w:r>
    </w:p>
    <w:p w:rsidR="002C06DD" w:rsidRDefault="002C06D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combined 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（家族性混合型高膽固醇血症）</w:t>
      </w:r>
    </w:p>
    <w:p w:rsidR="002C06DD" w:rsidRDefault="002C06D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hypertriglyceridemia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（家族性高三酸甘油酯血症）</w:t>
      </w:r>
    </w:p>
    <w:p w:rsidR="002C06DD" w:rsidRDefault="002C06DD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（繼發性）</w:t>
      </w:r>
    </w:p>
    <w:p w:rsidR="002C06DD" w:rsidRDefault="002C06D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代謝性疾病：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（糖尿病）、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（甲狀腺功能低下）</w:t>
      </w:r>
    </w:p>
    <w:p w:rsidR="002C06DD" w:rsidRDefault="002C06D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肝腎疾病：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Cholestatic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liver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（膽汁鬱積性肝病）、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（腎病症候群）、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renal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（慢性腎臟病）</w:t>
      </w:r>
    </w:p>
    <w:p w:rsidR="002C06DD" w:rsidRDefault="002C06D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生活習慣：肥胖、吸菸、過量飲酒</w:t>
      </w:r>
    </w:p>
    <w:p w:rsidR="002C06DD" w:rsidRDefault="002C06D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</w:p>
    <w:p w:rsidR="002C06DD" w:rsidRDefault="002C06DD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Thiazide diuretics</w:t>
      </w:r>
    </w:p>
    <w:p w:rsidR="002C06DD" w:rsidRDefault="002C06DD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</w:p>
    <w:p w:rsidR="002C06DD" w:rsidRDefault="002C06DD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口服避孕藥</w:t>
      </w:r>
    </w:p>
    <w:p w:rsidR="002C06DD" w:rsidRDefault="002C06DD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Clozapine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（抗精神病藥</w:t>
      </w:r>
    </w:p>
    <w:p w:rsidR="002C06DD" w:rsidRDefault="002C06DD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病史與理學檢查（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History/PE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06DD" w:rsidRDefault="002C06DD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大多數患者無明顯症狀</w:t>
      </w:r>
    </w:p>
    <w:p w:rsidR="002C06DD" w:rsidRDefault="002C06DD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嚴重高脂血症可能有體徵</w:t>
      </w:r>
    </w:p>
    <w:p w:rsidR="002C06DD" w:rsidRDefault="002C06D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Xanthomata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（黃瘤）：</w:t>
      </w:r>
    </w:p>
    <w:p w:rsidR="002C06DD" w:rsidRDefault="002C06DD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Eruptive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（爆發性黃瘤）：瘙癢性結節</w:t>
      </w:r>
    </w:p>
    <w:p w:rsidR="002C06DD" w:rsidRDefault="002C06DD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Tuberous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（結節性黃瘤）：肘部、膝部結節</w:t>
      </w:r>
    </w:p>
    <w:p w:rsidR="002C06DD" w:rsidRDefault="002C06DD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Palmar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（掌紋黃瘤）：掌紋橘色條紋</w:t>
      </w:r>
    </w:p>
    <w:p w:rsidR="002C06DD" w:rsidRDefault="002C06D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Xanthelasma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（眼瞼黃斑瘤）：眼周黃色脂肪沉積</w:t>
      </w:r>
    </w:p>
    <w:p w:rsidR="002C06DD" w:rsidRDefault="002C06D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Lipemia retinalis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（乳糜血症性視網膜病變）：視網膜血管呈乳白色</w:t>
      </w:r>
    </w:p>
    <w:p w:rsidR="002C06DD" w:rsidRDefault="002C06D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Corneal arcus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（角膜弧）：角膜基質脂質沉積</w:t>
      </w:r>
    </w:p>
    <w:p w:rsidR="002C06DD" w:rsidRDefault="002C06DD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嚴重高三酸甘油酯血症（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&gt;500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）可能導致急性胰臟炎（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pancreatitis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C06DD" w:rsidRDefault="002C06DD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可能有家族性高脂血症（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familial 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）病史</w:t>
      </w:r>
    </w:p>
    <w:p w:rsidR="002C06DD" w:rsidRDefault="002C06DD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繼發性高脂血症常見病因</w:t>
      </w:r>
    </w:p>
    <w:p w:rsidR="002C06DD" w:rsidRDefault="002C06D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Cushing syndrome</w:t>
      </w:r>
    </w:p>
    <w:p w:rsidR="002C06DD" w:rsidRDefault="002C06D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（甲狀腺功能低下）</w:t>
      </w:r>
    </w:p>
    <w:p w:rsidR="002C06DD" w:rsidRDefault="002C06D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（腎病症候群）</w:t>
      </w:r>
    </w:p>
    <w:p w:rsidR="002C06DD" w:rsidRDefault="002C06D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Cholestasis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（膽汁鬱積）</w:t>
      </w:r>
    </w:p>
    <w:p w:rsidR="002C06DD" w:rsidRDefault="002C06DD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C06DD" w:rsidRDefault="002C06DD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篩檢建議</w:t>
      </w:r>
    </w:p>
    <w:p w:rsidR="002C06DD" w:rsidRDefault="002C06DD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高血脂篩檢建議（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Dyslipidemia Screening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C06DD" w:rsidRDefault="002C06DD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2023 ACC/AHA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2022 ESC/EAS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台灣動脈硬化學會（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）指南，高血脂的篩檢應考量年齡、危險因子、家族病史，篩檢方法主要以空腹或非空腹血脂檢測（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2C06DD" w:rsidRDefault="002C06DD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C06DD" w:rsidRDefault="002C06DD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一般成人族群篩檢建議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3"/>
        <w:gridCol w:w="6393"/>
      </w:tblGrid>
      <w:tr w:rsidR="00000000">
        <w:trPr>
          <w:divId w:val="957566653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篩檢建議</w:t>
            </w:r>
          </w:p>
        </w:tc>
      </w:tr>
      <w:tr w:rsidR="00000000">
        <w:trPr>
          <w:divId w:val="957566653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20-39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9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有心血管危險因子者（如糖尿病、肥胖、吸菸、高血壓、家族史），應每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957566653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40-75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所有人皆應篩檢，至少每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次，若為高風險族群（如糖尿病或心血管疾病）應每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957566653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 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歲老年人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仍應持續監測，但應根據個人健康狀況與餘命決定是否積極治療。</w:t>
            </w:r>
          </w:p>
        </w:tc>
      </w:tr>
    </w:tbl>
    <w:p w:rsidR="002C06DD" w:rsidRDefault="002C06DD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2C06DD" w:rsidRDefault="002C06DD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高風險族群的篩檢建議</w:t>
      </w:r>
    </w:p>
    <w:p w:rsidR="002C06DD" w:rsidRDefault="002C06DD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以下高風險族群應每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年檢測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次，必要時可每年追蹤：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2C06DD" w:rsidRDefault="002C06DD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）家族史（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或早發心血管病史）</w:t>
      </w:r>
    </w:p>
    <w:p w:rsidR="002C06DD" w:rsidRDefault="002C06DD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Mellitus,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C06DD" w:rsidRDefault="002C06DD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Disease, CKD, eGFR &lt; 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C06DD" w:rsidRDefault="002C06DD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）病史</w:t>
      </w:r>
    </w:p>
    <w:p w:rsidR="002C06DD" w:rsidRDefault="002C06DD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C06DD" w:rsidRDefault="002C06DD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BMI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C06DD" w:rsidRDefault="002C06DD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吸菸者</w:t>
      </w:r>
    </w:p>
    <w:p w:rsidR="002C06DD" w:rsidRDefault="002C06DD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LDL-C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C06DD" w:rsidRDefault="002C06DD">
      <w:pPr>
        <w:numPr>
          <w:ilvl w:val="0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06DD" w:rsidRDefault="002C06DD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首選檢查：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（血脂分析）</w:t>
      </w:r>
    </w:p>
    <w:p w:rsidR="002C06DD" w:rsidRDefault="002C06DD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Total cholesterol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2C06DD" w:rsidRDefault="002C06DD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LDL-C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2C06DD" w:rsidRDefault="002C06DD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Triglycerides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2C06DD" w:rsidRDefault="002C06DD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HDL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↓</w:t>
      </w:r>
    </w:p>
    <w:p w:rsidR="002C06DD" w:rsidRDefault="002C06DD">
      <w:pPr>
        <w:numPr>
          <w:ilvl w:val="0"/>
          <w:numId w:val="10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診斷標準：</w:t>
      </w:r>
    </w:p>
    <w:p w:rsidR="002C06DD" w:rsidRDefault="002C06DD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總膽固醇（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Total Cholesterol, TC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200 mg/dL</w:t>
      </w:r>
    </w:p>
    <w:p w:rsidR="002C06DD" w:rsidRDefault="002C06DD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低密度脂蛋白（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130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（建議控制在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100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，對於高風險者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70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C06DD" w:rsidRDefault="002C06DD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高密度脂蛋白（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&lt; 40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（男性）或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&lt; 50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（女性）</w:t>
      </w:r>
    </w:p>
    <w:p w:rsidR="002C06DD" w:rsidRDefault="002C06DD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三酸甘油酯（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Triglycerides, TG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150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（嚴重高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會增加胰臟炎風險）</w:t>
      </w:r>
    </w:p>
    <w:p w:rsidR="002C06DD" w:rsidRDefault="002C06DD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C06DD" w:rsidRDefault="002C06DD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年台灣動脈硬化學會（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）指南，針對動脈粥樣硬化性心血管疾病（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目標值如下：</w:t>
      </w:r>
    </w:p>
    <w:p w:rsidR="002C06DD" w:rsidRDefault="002C06DD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目標值依據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1"/>
        <w:gridCol w:w="4061"/>
        <w:gridCol w:w="2114"/>
      </w:tblGrid>
      <w:tr w:rsidR="00000000">
        <w:trPr>
          <w:divId w:val="11525300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LDL-C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目標值</w:t>
            </w:r>
          </w:p>
        </w:tc>
      </w:tr>
      <w:tr w:rsidR="00000000">
        <w:trPr>
          <w:divId w:val="11525300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Very 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已確診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（如心肌梗塞、腦中風、周邊動脈疾病），或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靶器官損害（如微量白蛋白尿）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55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11525300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糖尿病（無靶器官損害）、慢性腎病（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 stage 3-4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1.8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11525300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Moderate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個以上心血管危險因子（高血壓、吸菸、家族史等），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10-20%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2.6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525300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Low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無主要心血管危險因子或僅有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個危險因子，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2C06DD" w:rsidRDefault="002C06DD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C06DD" w:rsidRDefault="002C06DD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2C06DD" w:rsidRDefault="002C06DD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治療主要分為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生活方式調整（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Lifestyle Modification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）與藥物治療（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Pharmacologic Therapy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2C06DD" w:rsidRDefault="002C06DD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生活方式調整（適用所有患者）：</w:t>
      </w:r>
    </w:p>
    <w:p w:rsidR="002C06DD" w:rsidRDefault="002C06DD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低脂飲食（減少紅肉攝取，增加膳食纖維）</w:t>
      </w:r>
    </w:p>
    <w:p w:rsidR="002C06DD" w:rsidRDefault="002C06DD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規律有氧運動</w:t>
      </w:r>
    </w:p>
    <w:p w:rsidR="002C06DD" w:rsidRDefault="002C06DD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減重</w:t>
      </w:r>
    </w:p>
    <w:p w:rsidR="002C06DD" w:rsidRDefault="002C06DD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藥物治療指引（依據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American College of Cardiology/American Heart Association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C06DD" w:rsidRDefault="002C06DD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（他汀類）為首選藥物</w:t>
      </w:r>
    </w:p>
    <w:p w:rsidR="002C06DD" w:rsidRDefault="002C06DD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&gt;50%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2C06DD" w:rsidRDefault="002C06DD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 mg</w:t>
      </w:r>
    </w:p>
    <w:p w:rsidR="002C06DD" w:rsidRDefault="002C06DD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Rosuvastatin 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 mg</w:t>
      </w:r>
    </w:p>
    <w:p w:rsidR="002C06DD" w:rsidRDefault="002C06DD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C06DD" w:rsidRDefault="002C06DD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高三酸甘油酯血症治療</w:t>
      </w:r>
    </w:p>
    <w:p w:rsidR="002C06DD" w:rsidRDefault="002C06DD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初始治療：生活方式調整、治療繼發性病因（如糖尿病、慢性腎病）</w:t>
      </w:r>
    </w:p>
    <w:p w:rsidR="002C06DD" w:rsidRDefault="002C06DD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ASCVD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7.5%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statins</w:t>
      </w:r>
    </w:p>
    <w:p w:rsidR="002C06DD" w:rsidRDefault="002C06DD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預防胰臟炎（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triglycerides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1000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（貝特類藥物）</w:t>
      </w:r>
    </w:p>
    <w:p w:rsidR="002C06DD" w:rsidRDefault="002C06DD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C06DD" w:rsidRDefault="002C06DD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Dyslipidemia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0"/>
        <w:gridCol w:w="1827"/>
        <w:gridCol w:w="1542"/>
        <w:gridCol w:w="1286"/>
        <w:gridCol w:w="2147"/>
        <w:gridCol w:w="1701"/>
      </w:tblGrid>
      <w:tr w:rsidR="00000000">
        <w:trPr>
          <w:divId w:val="431323807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作用機轉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考點</w:t>
            </w:r>
          </w:p>
        </w:tc>
      </w:tr>
      <w:tr w:rsidR="00000000">
        <w:trPr>
          <w:divId w:val="431323807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Atorvastatin, Rosuvastatin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HMG-CoA reductase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肝毒性、肌肉病變（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首選藥物，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Fibrate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431323807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Bile Acid Sequestrants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（膽酸螯合劑）</w:t>
            </w:r>
          </w:p>
        </w:tc>
        <w:tc>
          <w:tcPr>
            <w:tcW w:w="2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Cholestyramine, Colesevelam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與膽酸結合，促使膽固醇轉化為膽酸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適合年輕患者或孕婦的高膽固醇血症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胃腸不適（便秘、腹脹）、可能影響脂溶性維生素吸收</w:t>
            </w:r>
          </w:p>
        </w:tc>
        <w:tc>
          <w:tcPr>
            <w:tcW w:w="1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LDL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431323807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Gemfibrozil, Fenofibrate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PPAR-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LPL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活性，降低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高三酸甘油酯（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&gt;1000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），預防胰臟炎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膽結石（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cholelithiasis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）、肌肉毒性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TG &gt;1000 mg/dL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Fibrate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Gemfibrozil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HDL </w:t>
            </w:r>
          </w:p>
        </w:tc>
      </w:tr>
      <w:tr w:rsidR="00000000">
        <w:trPr>
          <w:divId w:val="431323807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 (Vit B3)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，輕度高膽固醇血症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潮紅（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PGE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介導）、高尿酸血症（痛風）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減少潮紅反應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431323807"/>
        </w:trPr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（膽固醇吸收抑制劑）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抑制腸道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NPC1L1 transporter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，減少膽固醇吸收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合併）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腹瀉、肝功能異常（罕見）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431323807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PCSK9 inhibitors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Alirocumab, Evolocumab</w:t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），無法耐受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注射部位反應，罕見肝功能異常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高風險患者（如家族性高膽固醇血症）適用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431323807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Omega-3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脂肪酸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Fish oil, Icosapent ethyl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中等程度高三酸甘油酯血症（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胃腸不適、魚腥味回流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，但效果不如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</w:tc>
      </w:tr>
      <w:tr w:rsidR="00000000">
        <w:trPr>
          <w:divId w:val="431323807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Lomitapide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噁心、腹瀉、肝內脂肪堆積（脂肪肝）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口服劑型，但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GI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副作用明顯，需低脂飲食以減少腸胃不適。需監測肝酶（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431323807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ApoB-100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Mipomersen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ApoB-100 mRNA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注射部位反應、類流感症狀、肝內脂肪堆積（脂肪肝）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皮下注射，常見注射部位反應，但主要問題是肝脂肪增加，可能影響肝功能。需監測肝酶（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2C06DD" w:rsidRDefault="002C06DD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Statins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仍為第一線藥物，但若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降幅不足，可加用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Ezetimibe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PCSK9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抑制劑。</w:t>
      </w:r>
    </w:p>
    <w:p w:rsidR="002C06DD" w:rsidRDefault="002C06DD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時，優先使用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Fibrates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Omega-3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，避免胰臟炎風險。</w:t>
      </w:r>
    </w:p>
    <w:p w:rsidR="002C06DD" w:rsidRDefault="002C06D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C06DD" w:rsidRDefault="002C06DD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依風險等級的治療策略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29"/>
        <w:gridCol w:w="3677"/>
      </w:tblGrid>
      <w:tr w:rsidR="00000000">
        <w:trPr>
          <w:divId w:val="1882160386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風險族群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882160386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</w:t>
            </w:r>
          </w:p>
        </w:tc>
      </w:tr>
      <w:tr w:rsidR="00000000">
        <w:trPr>
          <w:divId w:val="1882160386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100-129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生活方式調整，考慮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</w:t>
            </w:r>
          </w:p>
        </w:tc>
      </w:tr>
      <w:tr w:rsidR="00000000">
        <w:trPr>
          <w:divId w:val="1882160386"/>
        </w:trPr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7.5%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第一線，若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不達標可加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Ezetimibe</w:t>
            </w:r>
          </w:p>
        </w:tc>
      </w:tr>
      <w:tr w:rsidR="00000000">
        <w:trPr>
          <w:divId w:val="1882160386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，已有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+ Ezetimibe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</w:tr>
    </w:tbl>
    <w:p w:rsidR="002C06DD" w:rsidRDefault="002C06D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C06DD" w:rsidRDefault="002C06D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C06DD" w:rsidRDefault="002C06DD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2C06DD" w:rsidRDefault="002C06DD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Dyslipidemia</w:t>
      </w:r>
    </w:p>
    <w:p w:rsidR="002C06DD" w:rsidRDefault="002C06DD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https://www.tas.org.tw/upload/files/1-s2_0-S0929664622001036-main.pdf</w:t>
        </w:r>
      </w:hyperlink>
    </w:p>
    <w:p w:rsidR="002C06DD" w:rsidRDefault="002C06DD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https://www.tas.org.tw/upload/files/1-s2_0-S0929664622002157-main%20(1).pdf</w:t>
        </w:r>
      </w:hyperlink>
    </w:p>
    <w:p w:rsidR="002C06DD" w:rsidRDefault="002C06D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C06DD" w:rsidRDefault="002C06D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建議：</w:t>
      </w:r>
    </w:p>
    <w:p w:rsidR="002C06DD" w:rsidRDefault="002C06DD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2C06DD" w:rsidRDefault="002C06DD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2C06DD" w:rsidRDefault="002C06D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請問現行台灣關於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高危險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中危險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以及最近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12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個月有過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Stroke&amp;stenosis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活著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AF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患者的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LDL/TG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的下降要求量是多少？</w:t>
      </w:r>
    </w:p>
    <w:p w:rsidR="002C06DD" w:rsidRDefault="002C06DD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2C06DD" w:rsidRDefault="002C06DD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2C06DD" w:rsidRDefault="002C06DD">
      <w:pPr>
        <w:pStyle w:val="3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歐洲心臟學會（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歐洲動脈硬化學會（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EAS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2019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年脂質異常治療指引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38"/>
        <w:gridCol w:w="1353"/>
        <w:gridCol w:w="1295"/>
      </w:tblGrid>
      <w:tr w:rsidR="00000000">
        <w:trPr>
          <w:divId w:val="2038654838"/>
        </w:trPr>
        <w:tc>
          <w:tcPr>
            <w:tcW w:w="6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風險分類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LDL-C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目標值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相對降低幅度</w:t>
            </w:r>
          </w:p>
        </w:tc>
      </w:tr>
      <w:tr w:rsidR="00000000">
        <w:trPr>
          <w:divId w:val="2038654838"/>
        </w:trPr>
        <w:tc>
          <w:tcPr>
            <w:tcW w:w="6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非常高風險（如：已知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、糖尿病合併器官損害、嚴重慢性腎病）</w:t>
            </w:r>
          </w:p>
        </w:tc>
        <w:tc>
          <w:tcPr>
            <w:tcW w:w="14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55 mg/dL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2038654838"/>
        </w:trPr>
        <w:tc>
          <w:tcPr>
            <w:tcW w:w="6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高風險（如：顯著升高的單一危險因子）</w:t>
            </w:r>
          </w:p>
        </w:tc>
        <w:tc>
          <w:tcPr>
            <w:tcW w:w="14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70 mg/dL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2038654838"/>
        </w:trPr>
        <w:tc>
          <w:tcPr>
            <w:tcW w:w="6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4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 mg/dL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000000">
        <w:trPr>
          <w:divId w:val="2038654838"/>
        </w:trPr>
        <w:tc>
          <w:tcPr>
            <w:tcW w:w="6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4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116 mg/dL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DD" w:rsidRDefault="002C06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2C06DD" w:rsidRDefault="002C06DD">
      <w:pPr>
        <w:pStyle w:val="Web"/>
        <w:spacing w:beforeAutospacing="0" w:afterAutospacing="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TG 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控制目標</w:t>
      </w:r>
      <w:r>
        <w:rPr>
          <w:rFonts w:ascii="Calibri" w:hAnsi="Calibri" w:cs="Calibri"/>
          <w:color w:val="000000"/>
          <w:sz w:val="32"/>
          <w:szCs w:val="32"/>
        </w:rPr>
        <w:t>：</w:t>
      </w:r>
      <w:r>
        <w:rPr>
          <w:rFonts w:ascii="Calibri" w:hAnsi="Calibri" w:cs="Calibri"/>
          <w:color w:val="000000"/>
          <w:sz w:val="32"/>
          <w:szCs w:val="32"/>
        </w:rPr>
        <w:t xml:space="preserve">ESC/EAS </w:t>
      </w:r>
      <w:r>
        <w:rPr>
          <w:rFonts w:ascii="Calibri" w:hAnsi="Calibri" w:cs="Calibri"/>
          <w:color w:val="000000"/>
          <w:sz w:val="32"/>
          <w:szCs w:val="32"/>
        </w:rPr>
        <w:t>指南建議將</w:t>
      </w:r>
      <w:r>
        <w:rPr>
          <w:rFonts w:ascii="Calibri" w:hAnsi="Calibri" w:cs="Calibri"/>
          <w:color w:val="000000"/>
          <w:sz w:val="32"/>
          <w:szCs w:val="32"/>
        </w:rPr>
        <w:t xml:space="preserve"> TG </w:t>
      </w:r>
      <w:r>
        <w:rPr>
          <w:rFonts w:ascii="Calibri" w:hAnsi="Calibri" w:cs="Calibri"/>
          <w:color w:val="000000"/>
          <w:sz w:val="32"/>
          <w:szCs w:val="32"/>
        </w:rPr>
        <w:t>水平控制在</w:t>
      </w:r>
      <w:r>
        <w:rPr>
          <w:rFonts w:ascii="Calibri" w:hAnsi="Calibri" w:cs="Calibri"/>
          <w:color w:val="000000"/>
          <w:sz w:val="32"/>
          <w:szCs w:val="32"/>
        </w:rPr>
        <w:t xml:space="preserve"> &lt; 150 mg/dL</w:t>
      </w:r>
      <w:r>
        <w:rPr>
          <w:rFonts w:ascii="Calibri" w:hAnsi="Calibri" w:cs="Calibri"/>
          <w:color w:val="000000"/>
          <w:sz w:val="32"/>
          <w:szCs w:val="32"/>
        </w:rPr>
        <w:t>，特別是對於高風險患者。</w:t>
      </w:r>
    </w:p>
    <w:p w:rsidR="002C06DD" w:rsidRDefault="002C06D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那台灣呢？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06DD" w:rsidRDefault="002C06DD" w:rsidP="002C06DD">
      <w:r>
        <w:separator/>
      </w:r>
    </w:p>
  </w:endnote>
  <w:endnote w:type="continuationSeparator" w:id="0">
    <w:p w:rsidR="002C06DD" w:rsidRDefault="002C06DD" w:rsidP="002C0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06DD" w:rsidRDefault="002C06DD" w:rsidP="002C06DD">
      <w:r>
        <w:separator/>
      </w:r>
    </w:p>
  </w:footnote>
  <w:footnote w:type="continuationSeparator" w:id="0">
    <w:p w:rsidR="002C06DD" w:rsidRDefault="002C06DD" w:rsidP="002C06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965"/>
    <w:multiLevelType w:val="multilevel"/>
    <w:tmpl w:val="311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0622A"/>
    <w:multiLevelType w:val="multilevel"/>
    <w:tmpl w:val="560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5F36DA"/>
    <w:multiLevelType w:val="multilevel"/>
    <w:tmpl w:val="2E2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FA7A0F"/>
    <w:multiLevelType w:val="multilevel"/>
    <w:tmpl w:val="BEE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8E41E3"/>
    <w:multiLevelType w:val="multilevel"/>
    <w:tmpl w:val="CB46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8545DF"/>
    <w:multiLevelType w:val="multilevel"/>
    <w:tmpl w:val="6AC691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8720541"/>
    <w:multiLevelType w:val="multilevel"/>
    <w:tmpl w:val="66A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2005CD"/>
    <w:multiLevelType w:val="multilevel"/>
    <w:tmpl w:val="943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254642"/>
    <w:multiLevelType w:val="multilevel"/>
    <w:tmpl w:val="2DA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6328C9"/>
    <w:multiLevelType w:val="multilevel"/>
    <w:tmpl w:val="DA2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6C3969"/>
    <w:multiLevelType w:val="multilevel"/>
    <w:tmpl w:val="832A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86D44"/>
    <w:multiLevelType w:val="multilevel"/>
    <w:tmpl w:val="4E9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B613FB"/>
    <w:multiLevelType w:val="multilevel"/>
    <w:tmpl w:val="6CD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5A25AE"/>
    <w:multiLevelType w:val="multilevel"/>
    <w:tmpl w:val="96B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5C420D"/>
    <w:multiLevelType w:val="multilevel"/>
    <w:tmpl w:val="488C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9F7DD9"/>
    <w:multiLevelType w:val="multilevel"/>
    <w:tmpl w:val="845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1B74C4"/>
    <w:multiLevelType w:val="multilevel"/>
    <w:tmpl w:val="A996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634622">
    <w:abstractNumId w:val="15"/>
  </w:num>
  <w:num w:numId="2" w16cid:durableId="257518458">
    <w:abstractNumId w:val="14"/>
  </w:num>
  <w:num w:numId="3" w16cid:durableId="1474713495">
    <w:abstractNumId w:val="12"/>
  </w:num>
  <w:num w:numId="4" w16cid:durableId="466817766">
    <w:abstractNumId w:val="13"/>
  </w:num>
  <w:num w:numId="5" w16cid:durableId="661932041">
    <w:abstractNumId w:val="6"/>
  </w:num>
  <w:num w:numId="6" w16cid:durableId="1157645765">
    <w:abstractNumId w:val="4"/>
  </w:num>
  <w:num w:numId="7" w16cid:durableId="1631857566">
    <w:abstractNumId w:val="11"/>
  </w:num>
  <w:num w:numId="8" w16cid:durableId="1712267140">
    <w:abstractNumId w:val="0"/>
  </w:num>
  <w:num w:numId="9" w16cid:durableId="279260615">
    <w:abstractNumId w:val="8"/>
  </w:num>
  <w:num w:numId="10" w16cid:durableId="959609831">
    <w:abstractNumId w:val="9"/>
  </w:num>
  <w:num w:numId="11" w16cid:durableId="1797989872">
    <w:abstractNumId w:val="3"/>
  </w:num>
  <w:num w:numId="12" w16cid:durableId="1948846667">
    <w:abstractNumId w:val="7"/>
  </w:num>
  <w:num w:numId="13" w16cid:durableId="153110299">
    <w:abstractNumId w:val="2"/>
  </w:num>
  <w:num w:numId="14" w16cid:durableId="1719209677">
    <w:abstractNumId w:val="5"/>
  </w:num>
  <w:num w:numId="15" w16cid:durableId="819275664">
    <w:abstractNumId w:val="1"/>
  </w:num>
  <w:num w:numId="16" w16cid:durableId="1010989768">
    <w:abstractNumId w:val="10"/>
    <w:lvlOverride w:ilvl="0">
      <w:startOverride w:val="1"/>
    </w:lvlOverride>
  </w:num>
  <w:num w:numId="17" w16cid:durableId="1613513167">
    <w:abstractNumId w:val="16"/>
    <w:lvlOverride w:ilvl="0">
      <w:startOverride w:val="2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DD"/>
    <w:rsid w:val="002C06DD"/>
    <w:rsid w:val="00EC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6DC479-AB3A-4B1E-97F0-EDEAAB4E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C06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C06D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C06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C06D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23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30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4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s.org.tw/upload/files/1-s2_0-S0929664622002157-main%20(1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s.org.tw/upload/files/1-s2_0-S0929664622001036-mai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