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7072A" w:rsidRDefault="00B7072A">
      <w:pPr>
        <w:pStyle w:val="Web"/>
        <w:spacing w:before="0" w:beforeAutospacing="0" w:after="0" w:afterAutospacing="0"/>
        <w:rPr>
          <w:rFonts w:ascii="Calibri Light" w:hAnsi="Calibri Light" w:cs="Calibri Light"/>
          <w:sz w:val="40"/>
          <w:szCs w:val="40"/>
        </w:rPr>
      </w:pPr>
      <w:r>
        <w:rPr>
          <w:rFonts w:ascii="Calibri Light" w:hAnsi="Calibri Light" w:cs="Calibri Light"/>
          <w:sz w:val="40"/>
          <w:szCs w:val="40"/>
        </w:rPr>
        <w:t>Acute coronary syndrome</w:t>
      </w:r>
    </w:p>
    <w:p w:rsidR="00B7072A" w:rsidRDefault="00B7072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Wednesday, February 26, 2025</w:t>
      </w:r>
    </w:p>
    <w:p w:rsidR="00B7072A" w:rsidRDefault="00B7072A">
      <w:pPr>
        <w:pStyle w:val="Web"/>
        <w:spacing w:before="0" w:beforeAutospacing="0" w:after="0" w:afterAutospacing="0"/>
        <w:rPr>
          <w:rFonts w:ascii="Calibri" w:hAnsi="Calibri" w:cs="Calibri"/>
          <w:color w:val="666666"/>
          <w:sz w:val="20"/>
          <w:szCs w:val="20"/>
        </w:rPr>
      </w:pPr>
      <w:r>
        <w:rPr>
          <w:rFonts w:ascii="Calibri" w:hAnsi="Calibri" w:cs="Calibri"/>
          <w:color w:val="666666"/>
          <w:sz w:val="20"/>
          <w:szCs w:val="20"/>
        </w:rPr>
        <w:t>5:29 PM</w:t>
      </w:r>
    </w:p>
    <w:p w:rsidR="00B7072A" w:rsidRDefault="00B7072A">
      <w:pPr>
        <w:pStyle w:val="Web"/>
        <w:spacing w:before="0" w:beforeAutospacing="0" w:after="0" w:afterAutospacing="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編輯格式</w:t>
      </w:r>
    </w:p>
    <w:p w:rsidR="00B7072A" w:rsidRDefault="00B7072A">
      <w:pPr>
        <w:numPr>
          <w:ilvl w:val="1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32"/>
          <w:szCs w:val="32"/>
        </w:rPr>
        <w:t>顏色註記方式</w:t>
      </w:r>
    </w:p>
    <w:p w:rsidR="00B7072A" w:rsidRDefault="00B707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重要標題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母標題藍色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最暗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color w:val="1E4E79"/>
          <w:sz w:val="22"/>
          <w:szCs w:val="22"/>
        </w:rPr>
        <w:t>標記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子標題藍色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較暗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,25%)</w:t>
      </w:r>
      <w:r>
        <w:rPr>
          <w:rFonts w:ascii="Microsoft JhengHei Light" w:eastAsia="Microsoft JhengHei Light" w:hAnsi="Microsoft JhengHei Light" w:cs="Calibri" w:hint="eastAsia"/>
          <w:color w:val="2E75B5"/>
          <w:sz w:val="22"/>
          <w:szCs w:val="22"/>
        </w:rPr>
        <w:t>標記</w:t>
      </w:r>
    </w:p>
    <w:p w:rsidR="00B7072A" w:rsidRDefault="00B707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重要術式治療藥物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綠色標記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70AD47"/>
          <w:sz w:val="22"/>
          <w:szCs w:val="22"/>
        </w:rPr>
        <w:t>粗體</w:t>
      </w:r>
    </w:p>
    <w:p w:rsidR="00B7072A" w:rsidRDefault="00B707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重要內文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 xml:space="preserve"> : 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紅色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標準色彩</w:t>
      </w:r>
      <w:r>
        <w:rPr>
          <w:rFonts w:ascii="Microsoft JhengHei Light" w:eastAsia="Microsoft JhengHei Light" w:hAnsi="Microsoft JhengHei Light" w:cs="Calibri" w:hint="eastAsia"/>
          <w:color w:val="C00000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/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+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粗體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橘色那一欄第一個</w:t>
      </w:r>
      <w:r>
        <w:rPr>
          <w:rFonts w:ascii="Microsoft JhengHei Light" w:eastAsia="Microsoft JhengHei Light" w:hAnsi="Microsoft JhengHei Light" w:cs="Calibri" w:hint="eastAsia"/>
          <w:b/>
          <w:bCs/>
          <w:color w:val="ED7D31"/>
          <w:sz w:val="22"/>
          <w:szCs w:val="22"/>
        </w:rPr>
        <w:t>)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(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如果同色太醜就紅橘相間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)</w:t>
      </w:r>
    </w:p>
    <w:p w:rsidR="00B7072A" w:rsidRDefault="00B7072A">
      <w:pPr>
        <w:numPr>
          <w:ilvl w:val="2"/>
          <w:numId w:val="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直接來複製顏色格式一定不會錯</w:t>
      </w:r>
      <w:r>
        <w:rPr>
          <w:rFonts w:ascii="Microsoft JhengHei Light" w:eastAsia="Microsoft JhengHei Light" w:hAnsi="Microsoft JhengHei Light" w:cs="Calibri" w:hint="eastAsia"/>
          <w:sz w:val="22"/>
          <w:szCs w:val="22"/>
        </w:rPr>
        <w:t>xd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Microsoft JhengHei Light" w:eastAsia="Microsoft JhengHei Light" w:hAnsi="Microsoft JhengHei Light" w:cs="Calibri"/>
          <w:sz w:val="22"/>
          <w:szCs w:val="22"/>
        </w:rPr>
      </w:pPr>
      <w:r>
        <w:rPr>
          <w:rFonts w:ascii="Calibri" w:eastAsia="Microsoft JhengHei Light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流行病學（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Epidemiology</w:t>
      </w:r>
      <w:r>
        <w:rPr>
          <w:rFonts w:ascii="Microsoft JhengHei Light" w:eastAsia="Microsoft JhengHei Light" w:hAnsi="Microsoft JhengHei Light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台灣急性冠狀症候群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現況</w:t>
      </w:r>
    </w:p>
    <w:p w:rsidR="00B7072A" w:rsidRDefault="00B7072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ACS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是台灣主要的心血管疾病之一，發病率隨年齡增加</w:t>
      </w:r>
    </w:p>
    <w:p w:rsidR="00B7072A" w:rsidRDefault="00B7072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與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 xml:space="preserve"> NSTEMI </w:t>
      </w: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皆可導致心衰竭、心律不整、猝死</w:t>
      </w:r>
    </w:p>
    <w:p w:rsidR="00B7072A" w:rsidRDefault="00B7072A">
      <w:pPr>
        <w:numPr>
          <w:ilvl w:val="2"/>
          <w:numId w:val="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2"/>
          <w:szCs w:val="22"/>
        </w:rPr>
        <w:t>近年來，高齡、糖尿病、腎功能不全患者比例增加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急性冠症候群（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Acute Coronary Syndromes, 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3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急性冠症候群主要由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動脈粥樣硬化斑塊破裂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Plaque Rupture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導致血栓形成（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Thrombus Formation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）引起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，依據血管阻塞程度可分為以下類型：</w:t>
      </w:r>
    </w:p>
    <w:p w:rsidR="00B7072A" w:rsidRDefault="00B7072A">
      <w:pPr>
        <w:numPr>
          <w:ilvl w:val="0"/>
          <w:numId w:val="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分類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573"/>
        <w:gridCol w:w="1775"/>
        <w:gridCol w:w="1776"/>
        <w:gridCol w:w="1682"/>
      </w:tblGrid>
      <w:tr w:rsidR="00000000">
        <w:trPr>
          <w:divId w:val="31576738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類型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血管阻塞程度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變化</w:t>
            </w:r>
          </w:p>
        </w:tc>
        <w:tc>
          <w:tcPr>
            <w:tcW w:w="171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心肌酵素（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</w:tr>
      <w:tr w:rsidR="00000000">
        <w:trPr>
          <w:divId w:val="315767385"/>
        </w:trPr>
        <w:tc>
          <w:tcPr>
            <w:tcW w:w="285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不穩定型心絞痛（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Unstable Angina, UA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波倒置</w:t>
            </w:r>
          </w:p>
        </w:tc>
        <w:tc>
          <w:tcPr>
            <w:tcW w:w="138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</w:tr>
      <w:tr w:rsidR="00000000">
        <w:trPr>
          <w:divId w:val="31576738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非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部分阻塞（不完全阻塞）</w:t>
            </w:r>
          </w:p>
        </w:tc>
        <w:tc>
          <w:tcPr>
            <w:tcW w:w="20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波改變</w:t>
            </w:r>
          </w:p>
        </w:tc>
        <w:tc>
          <w:tcPr>
            <w:tcW w:w="143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315767385"/>
        </w:trPr>
        <w:tc>
          <w:tcPr>
            <w:tcW w:w="28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段抬高型心肌梗塞（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）</w:t>
            </w:r>
          </w:p>
        </w:tc>
        <w:tc>
          <w:tcPr>
            <w:tcW w:w="19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20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</w:t>
            </w:r>
          </w:p>
        </w:tc>
        <w:tc>
          <w:tcPr>
            <w:tcW w:w="14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</w:tbl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lastRenderedPageBreak/>
        <w:t> </w:t>
      </w:r>
    </w:p>
    <w:p w:rsidR="00B7072A" w:rsidRDefault="00B7072A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不穩定型心絞痛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Unstable Angina, UA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斑塊破裂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Segoe UI Symbol" w:hAnsi="Segoe UI Symbol" w:cs="Calibri"/>
          <w:color w:val="000000"/>
          <w:sz w:val="22"/>
          <w:szCs w:val="22"/>
        </w:rPr>
        <w:t>➝</w:t>
      </w:r>
      <w:r>
        <w:rPr>
          <w:rFonts w:ascii="Segoe UI Symbol" w:hAnsi="Segoe UI Symbol" w:cs="Calibri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部分血栓形成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（但未完全阻塞）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心肌未壞死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（沒有心肌酵素上升）</w:t>
      </w:r>
    </w:p>
    <w:p w:rsidR="00B7072A" w:rsidRDefault="00B7072A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休息時胸痛（新發或惡化）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，可能持續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&gt;10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&lt;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30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與穩定型心絞痛（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Stable Angina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）不同，休息時仍可能發作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可能正常或出現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B7072A" w:rsidRDefault="00B7072A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  <w:r>
        <w:rPr>
          <w:rFonts w:ascii="微軟正黑體" w:eastAsia="微軟正黑體" w:hAnsi="微軟正黑體" w:cs="Calibri" w:hint="eastAsia"/>
          <w:sz w:val="22"/>
          <w:szCs w:val="22"/>
        </w:rPr>
        <w:br/>
      </w: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非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部分血栓阻塞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（導致部分心肌缺血壞死）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影響內膜層心肌（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Subendocardial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B7072A" w:rsidRDefault="00B7072A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持續性胸痛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 10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&lt; 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可能伴隨呼吸困難、盜汗、噁心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波倒置，但無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</w:p>
    <w:p w:rsidR="00B7072A" w:rsidRDefault="00B7072A">
      <w:pPr>
        <w:numPr>
          <w:ilvl w:val="1"/>
          <w:numId w:val="4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段壓低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/ T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波倒置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（但無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段抬高）</w:t>
      </w:r>
    </w:p>
    <w:p w:rsidR="00B7072A" w:rsidRDefault="00B7072A">
      <w:pPr>
        <w:numPr>
          <w:ilvl w:val="2"/>
          <w:numId w:val="4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GRACE/TIMI score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風險評估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決定是否早期介入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TIMI Score</w:t>
      </w:r>
    </w:p>
    <w:p w:rsidR="00B7072A" w:rsidRDefault="00B7072A">
      <w:pPr>
        <w:numPr>
          <w:ilvl w:val="1"/>
          <w:numId w:val="5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預測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14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天內心血管事件（死亡、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MI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、需緊急血運重建）的風險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，滿分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7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分，分數越高，風險越高！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6074"/>
        <w:gridCol w:w="1732"/>
      </w:tblGrid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危險因子</w:t>
            </w:r>
          </w:p>
        </w:tc>
        <w:tc>
          <w:tcPr>
            <w:tcW w:w="18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評分（每項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分）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年齡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65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3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個冠心病危險因子（高血壓、糖尿病、吸菸、高膽固醇、早發冠心病家族史）</w:t>
            </w:r>
          </w:p>
        </w:tc>
        <w:tc>
          <w:tcPr>
            <w:tcW w:w="176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已知冠狀動脈疾病（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CAD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，冠狀動脈狹窄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&gt; 50%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過去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小時內出現嚴重心絞痛（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Angina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次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使用抗血小板藥物（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）但仍有症狀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心電圖（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）表現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段壓低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0.5mm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  <w:tr w:rsidR="00000000">
        <w:trPr>
          <w:divId w:val="749473996"/>
        </w:trPr>
        <w:tc>
          <w:tcPr>
            <w:tcW w:w="645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初始心肌酵素（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CK-MB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）升高</w:t>
            </w:r>
          </w:p>
        </w:tc>
        <w:tc>
          <w:tcPr>
            <w:tcW w:w="177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+1</w:t>
            </w:r>
          </w:p>
        </w:tc>
      </w:tr>
    </w:tbl>
    <w:p w:rsidR="00B7072A" w:rsidRDefault="00B7072A">
      <w:pPr>
        <w:pStyle w:val="Web"/>
        <w:spacing w:beforeAutospacing="0" w:afterAutospacing="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7072A" w:rsidRDefault="00B7072A">
      <w:pPr>
        <w:numPr>
          <w:ilvl w:val="0"/>
          <w:numId w:val="6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TIMI Score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風險分層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279"/>
        <w:gridCol w:w="2496"/>
      </w:tblGrid>
      <w:tr w:rsidR="00000000">
        <w:trPr>
          <w:divId w:val="338239131"/>
        </w:trPr>
        <w:tc>
          <w:tcPr>
            <w:tcW w:w="12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TIMI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分數</w:t>
            </w:r>
          </w:p>
        </w:tc>
        <w:tc>
          <w:tcPr>
            <w:tcW w:w="249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天內心血管事件風險</w:t>
            </w:r>
          </w:p>
        </w:tc>
      </w:tr>
      <w:tr w:rsidR="00000000">
        <w:trPr>
          <w:divId w:val="338239131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0-1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4-5%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38239131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38239131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中等風險（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13%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38239131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338239131"/>
        </w:trPr>
        <w:tc>
          <w:tcPr>
            <w:tcW w:w="12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5-7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</w:t>
            </w:r>
          </w:p>
        </w:tc>
        <w:tc>
          <w:tcPr>
            <w:tcW w:w="24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26-41%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7072A" w:rsidRDefault="00B7072A">
      <w:pPr>
        <w:pStyle w:val="Web"/>
        <w:spacing w:beforeAutospacing="0" w:afterAutospacing="0"/>
        <w:ind w:left="540"/>
        <w:rPr>
          <w:rFonts w:ascii="Calibri" w:hAnsi="Calibri" w:cs="Calibri" w:hint="eastAsia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TIMI Score </w:t>
      </w:r>
      <w:r>
        <w:rPr>
          <w:rFonts w:ascii="Cambria Math" w:hAnsi="Cambria Math" w:cs="Calibri"/>
          <w:color w:val="C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建議做侵入性治療（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7072A" w:rsidRDefault="00B7072A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7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GRACE score</w:t>
      </w:r>
    </w:p>
    <w:p w:rsidR="00B7072A" w:rsidRDefault="00B7072A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及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的風險評估上，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GRACE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Score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TIMI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都可用於臨床決策，但台灣與國際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guideline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TSOC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AHA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ESC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較推薦使用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 xml:space="preserve"> GRACE Score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來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評估預後風險與是否需要早期介入治療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。</w:t>
      </w:r>
    </w:p>
    <w:p w:rsidR="00B7072A" w:rsidRDefault="00B7072A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主要用於評估急性冠症候群（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）患者的院內及出院後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6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個月內死亡風險，特別適用於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與不穩定型心絞痛（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7072A" w:rsidRDefault="00B7072A">
      <w:pPr>
        <w:numPr>
          <w:ilvl w:val="1"/>
          <w:numId w:val="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GRACE Score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根據以下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8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個臨床指標計算分數</w:t>
      </w:r>
      <w:r>
        <w:rPr>
          <w:rFonts w:ascii="Microsoft JhengHei Light" w:eastAsia="Microsoft JhengHei Light" w:hAnsi="Microsoft JhengHei Light" w:cs="Calibri" w:hint="eastAsia"/>
          <w:color w:val="1A1A1A"/>
          <w:sz w:val="28"/>
          <w:szCs w:val="28"/>
        </w:rPr>
        <w:t>，計分法複雜，可上網算：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838"/>
        <w:gridCol w:w="3428"/>
      </w:tblGrid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變項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內容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年齡越大，風險越高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Heart rate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心率越高，風險越高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收縮壓（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SBP, mmHg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血壓越低，風險越高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Killip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分級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依據心臟衰竭嚴重度評估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心搏停止（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arrest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是否有院外心搏停止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血清肌酐（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Serum Creatinine, mg/dL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腎功能不佳者風險較高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段變化（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ST-segment deviation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段改變者風險較高</w:t>
            </w:r>
          </w:p>
        </w:tc>
      </w:tr>
      <w:tr w:rsidR="00000000">
        <w:trPr>
          <w:divId w:val="1044646359"/>
        </w:trPr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心肌標誌物（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Cardiac biomarkers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363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Troponin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CK-MB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陽性者風險較高</w:t>
            </w:r>
          </w:p>
        </w:tc>
      </w:tr>
    </w:tbl>
    <w:p w:rsidR="00B7072A" w:rsidRDefault="00B7072A">
      <w:pPr>
        <w:numPr>
          <w:ilvl w:val="0"/>
          <w:numId w:val="8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 xml:space="preserve">GRACE Score 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依照總分預測院內及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6</w:t>
      </w:r>
      <w:r>
        <w:rPr>
          <w:rFonts w:ascii="Microsoft JhengHei Light" w:eastAsia="Microsoft JhengHei Light" w:hAnsi="Microsoft JhengHei Light" w:cs="Calibri" w:hint="eastAsia"/>
          <w:color w:val="000000"/>
          <w:sz w:val="28"/>
          <w:szCs w:val="28"/>
        </w:rPr>
        <w:t>個月內死亡風險，並用於決定是否進行侵入性治療。</w:t>
      </w:r>
    </w:p>
    <w:tbl>
      <w:tblPr>
        <w:tblW w:w="0" w:type="auto"/>
        <w:tblInd w:w="102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399"/>
        <w:gridCol w:w="1008"/>
        <w:gridCol w:w="1706"/>
        <w:gridCol w:w="3153"/>
      </w:tblGrid>
      <w:tr w:rsidR="00000000">
        <w:trPr>
          <w:divId w:val="919371479"/>
        </w:trPr>
        <w:tc>
          <w:tcPr>
            <w:tcW w:w="14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GRACE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總分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死亡風險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風險等級</w:t>
            </w:r>
          </w:p>
        </w:tc>
        <w:tc>
          <w:tcPr>
            <w:tcW w:w="3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建議處置</w:t>
            </w:r>
          </w:p>
        </w:tc>
      </w:tr>
      <w:tr w:rsidR="00000000">
        <w:trPr>
          <w:divId w:val="919371479"/>
        </w:trPr>
        <w:tc>
          <w:tcPr>
            <w:tcW w:w="1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Cambria Math" w:eastAsia="Microsoft JhengHei Light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108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低風險</w:t>
            </w:r>
          </w:p>
        </w:tc>
        <w:tc>
          <w:tcPr>
            <w:tcW w:w="187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&lt;1%</w:t>
            </w:r>
          </w:p>
        </w:tc>
        <w:tc>
          <w:tcPr>
            <w:tcW w:w="324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可考慮藥物保守治療</w:t>
            </w:r>
          </w:p>
        </w:tc>
      </w:tr>
      <w:tr w:rsidR="00000000">
        <w:trPr>
          <w:divId w:val="919371479"/>
        </w:trPr>
        <w:tc>
          <w:tcPr>
            <w:tcW w:w="1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109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140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中風險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1-3%</w:t>
            </w:r>
          </w:p>
        </w:tc>
        <w:tc>
          <w:tcPr>
            <w:tcW w:w="34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建議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24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72 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小時內侵入性策略（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919371479"/>
        </w:trPr>
        <w:tc>
          <w:tcPr>
            <w:tcW w:w="145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&gt;140</w:t>
            </w:r>
          </w:p>
        </w:tc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高風險</w:t>
            </w:r>
          </w:p>
        </w:tc>
        <w:tc>
          <w:tcPr>
            <w:tcW w:w="18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院內死亡率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 xml:space="preserve"> &gt;3%</w:t>
            </w:r>
          </w:p>
        </w:tc>
        <w:tc>
          <w:tcPr>
            <w:tcW w:w="35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</w:pP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緊急侵入性策略（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PCI within 2h</w:t>
            </w:r>
            <w:r>
              <w:rPr>
                <w:rFonts w:ascii="Microsoft JhengHei Light" w:eastAsia="Microsoft JhengHei Light" w:hAnsi="Microsoft JhengHei Light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7072A" w:rsidRDefault="00B7072A">
      <w:pPr>
        <w:numPr>
          <w:ilvl w:val="0"/>
          <w:numId w:val="9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不穩定型心絞痛及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</w:t>
      </w:r>
    </w:p>
    <w:p w:rsidR="00B7072A" w:rsidRDefault="00B7072A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主要治療目標：穩定病況、減少再梗塞</w:t>
      </w:r>
    </w:p>
    <w:p w:rsidR="00B7072A" w:rsidRDefault="00B7072A">
      <w:pPr>
        <w:numPr>
          <w:ilvl w:val="1"/>
          <w:numId w:val="9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UA/NSTEMI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：冠狀動脈「不完全阻塞」，仍有部分血流供應心肌，因此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不需要緊急血栓溶解（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Thrombolysis</w:t>
      </w: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）。</w:t>
      </w:r>
    </w:p>
    <w:p w:rsidR="00B7072A" w:rsidRDefault="00B7072A">
      <w:pPr>
        <w:pStyle w:val="Web"/>
        <w:spacing w:beforeAutospacing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10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初期藥物治療（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Antithrombotic &amp; Anti-ischemic Therapy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抗血小板藥物（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Antiplatelet Agents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Aspirin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ASA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：永久性抑制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COX-1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，減少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Thromboxane A2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生成，防止血小板聚集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P2Y12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受體拮抗劑（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Clopidogrel / Prasugrel / Ticagrelor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合併使用（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Dual Antiplatelet Therapy, 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Ticagrelor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作用最強（但增加出血風險）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Prasugrel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禁用於中風病史患者</w:t>
      </w:r>
    </w:p>
    <w:p w:rsidR="00B7072A" w:rsidRDefault="00B7072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抗凝血藥物（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Anticoagulants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Heparin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UFH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或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 LMWH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減少新血栓形成，預防進一步阻塞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UFH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（未分化肝素）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需持續監測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LMWH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（低分子量肝素，如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Enoxaparin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）：較穩定、不需監測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aPTT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，臨床更常用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Bivalirudin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（直接凝血酶抑制劑）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，如對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Heparin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過敏可考慮</w:t>
      </w:r>
    </w:p>
    <w:p w:rsidR="00B7072A" w:rsidRDefault="00B7072A">
      <w:pPr>
        <w:numPr>
          <w:ilvl w:val="1"/>
          <w:numId w:val="1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抗缺血藥物（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Anti-ischemic Therapy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）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Beta-blockers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（β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阻斷劑）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減少心肌氧氣消耗（降低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HR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BP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、心肌收縮力）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禁忌症：心因性休克、嚴重支氣管痙攣（如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COPD, Asthma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Nitrates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Nitroglycerin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緩解心絞痛，改善冠狀動脈血流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禁忌症：嚴重低血壓、右心梗塞（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Statins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（高劑量，如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Atorvastatin 80mg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穩定動脈粥狀斑塊，減少心血管事件</w:t>
      </w:r>
    </w:p>
    <w:p w:rsidR="00B7072A" w:rsidRDefault="00B7072A">
      <w:pPr>
        <w:pStyle w:val="Web"/>
        <w:spacing w:before="0" w:beforeAutospacing="0" w:after="0" w:afterAutospacing="0"/>
        <w:ind w:left="216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11"/>
        </w:numPr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介入治療（非緊急性心導管術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/PCI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1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 xml:space="preserve">NSTEMI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不需要緊急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PCI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，但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8"/>
          <w:szCs w:val="28"/>
        </w:rPr>
        <w:t>高風險患者仍應該考慮早期介入治療。</w:t>
      </w:r>
    </w:p>
    <w:p w:rsidR="00B7072A" w:rsidRDefault="00B7072A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適用族群：高危險族群</w:t>
      </w:r>
    </w:p>
    <w:p w:rsidR="00B7072A" w:rsidRDefault="00B7072A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GRACE score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高（預測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6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個月內死亡風險）</w:t>
      </w:r>
    </w:p>
    <w:p w:rsidR="00B7072A" w:rsidRDefault="00B7072A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反覆胸痛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/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血流動力學不穩</w:t>
      </w:r>
    </w:p>
    <w:p w:rsidR="00B7072A" w:rsidRDefault="00B7072A">
      <w:pPr>
        <w:numPr>
          <w:ilvl w:val="3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明顯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ST-T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變化或生物標誌物升高（如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Troponin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1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方法</w:t>
      </w:r>
    </w:p>
    <w:p w:rsidR="00B7072A" w:rsidRDefault="00B7072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冠狀動脈造影（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 xml:space="preserve">Coronary 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Angiography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），依狀況決定是否放置支架（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PCI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p w:rsidR="00B7072A" w:rsidRDefault="00B7072A">
      <w:pPr>
        <w:numPr>
          <w:ilvl w:val="3"/>
          <w:numId w:val="11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必要時行冠狀動脈繞道手術（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CABG</w:t>
      </w:r>
      <w:r>
        <w:rPr>
          <w:rFonts w:ascii="微軟正黑體" w:eastAsia="微軟正黑體" w:hAnsi="微軟正黑體" w:cs="Calibri" w:hint="eastAsia"/>
          <w:b/>
          <w:bCs/>
          <w:color w:val="70AD47"/>
          <w:sz w:val="22"/>
          <w:szCs w:val="2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814"/>
        <w:gridCol w:w="4748"/>
      </w:tblGrid>
      <w:tr w:rsidR="00000000">
        <w:trPr>
          <w:divId w:val="14502477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風險分層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治療策略</w:t>
            </w:r>
          </w:p>
        </w:tc>
      </w:tr>
      <w:tr w:rsidR="00000000">
        <w:trPr>
          <w:divId w:val="14502477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&gt;140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緊急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小時內）</w:t>
            </w:r>
          </w:p>
        </w:tc>
      </w:tr>
      <w:tr w:rsidR="00000000">
        <w:trPr>
          <w:divId w:val="1450247722"/>
        </w:trPr>
        <w:tc>
          <w:tcPr>
            <w:tcW w:w="28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中風險（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109-140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2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24-72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小時內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PCI</w:t>
            </w:r>
          </w:p>
        </w:tc>
      </w:tr>
      <w:tr w:rsidR="00000000">
        <w:trPr>
          <w:divId w:val="14502477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低風險（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GRACE &lt;109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6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、抗凝、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450247722"/>
        </w:trPr>
        <w:tc>
          <w:tcPr>
            <w:tcW w:w="27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藥物治療</w:t>
            </w:r>
          </w:p>
        </w:tc>
        <w:tc>
          <w:tcPr>
            <w:tcW w:w="474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color w:val="000000"/>
                <w:sz w:val="22"/>
                <w:szCs w:val="22"/>
              </w:rPr>
            </w:pP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Aspirin + P2Y12 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抑制劑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 xml:space="preserve"> + Heparin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（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UFH/LMWH</w:t>
            </w:r>
            <w:r>
              <w:rPr>
                <w:rFonts w:ascii="Calibri" w:hAnsi="Calibri" w:cs="Calibri"/>
                <w:color w:val="000000"/>
                <w:sz w:val="22"/>
                <w:szCs w:val="22"/>
              </w:rPr>
              <w:t>）</w:t>
            </w:r>
          </w:p>
        </w:tc>
      </w:tr>
    </w:tbl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color w:val="000000"/>
          <w:sz w:val="22"/>
          <w:szCs w:val="22"/>
        </w:rPr>
      </w:pPr>
      <w:r>
        <w:rPr>
          <w:rFonts w:ascii="Calibri" w:hAnsi="Calibri" w:cs="Calibri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12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段抬高型心肌梗塞（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p w:rsidR="00B7072A" w:rsidRDefault="00B7072A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機轉：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完全血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管阻塞（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100%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），導致心肌急性缺血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影響全層心肌（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Transmural Infarction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7072A" w:rsidRDefault="00B7072A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臨床表現：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劇烈胸痛（可能持續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&gt;30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，可能放射至左臂、下顎、頸部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可能伴有呼吸困難、盜汗、嘔吐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無法被休息或舌下含服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NTG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緩解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段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，可能合併新發左束支傳導阻滯（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1"/>
          <w:numId w:val="12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診斷關鍵：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心肌酵素明顯上升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Troponin I/T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↑）</w:t>
      </w:r>
    </w:p>
    <w:p w:rsidR="00B7072A" w:rsidRDefault="00B7072A">
      <w:pPr>
        <w:numPr>
          <w:ilvl w:val="2"/>
          <w:numId w:val="12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ECG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（連續兩個肢體導聯）或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 mm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（連續胸導聯）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1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STEMI ECG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變化：</w:t>
      </w:r>
    </w:p>
    <w:p w:rsidR="00B7072A" w:rsidRDefault="00B7072A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至少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2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個連續導程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C00000"/>
          <w:sz w:val="28"/>
          <w:szCs w:val="28"/>
        </w:rPr>
        <w:t>段抬高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，定義如下：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V2-V3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7072A" w:rsidRDefault="00B7072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2.5 mm</w:t>
      </w:r>
    </w:p>
    <w:p w:rsidR="00B7072A" w:rsidRDefault="00B7072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男性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40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歲：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2.0 mm</w:t>
      </w:r>
    </w:p>
    <w:p w:rsidR="00B7072A" w:rsidRDefault="00B7072A">
      <w:pPr>
        <w:numPr>
          <w:ilvl w:val="3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女性：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1.5 mm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其他導程：</w:t>
      </w:r>
      <w:r>
        <w:rPr>
          <w:rFonts w:ascii="Cambria Math" w:eastAsia="Microsoft JhengHei Light" w:hAnsi="Cambria Math" w:cs="Cambria Math"/>
          <w:color w:val="000000"/>
          <w:sz w:val="22"/>
          <w:szCs w:val="22"/>
          <w:lang w:val="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1 mm</w:t>
      </w:r>
    </w:p>
    <w:p w:rsidR="00B7072A" w:rsidRDefault="00B7072A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新發左束支傳導阻滯（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LBBB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），合併缺血症狀時，亦視為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</w:p>
    <w:p w:rsidR="00B7072A" w:rsidRDefault="00B7072A">
      <w:pPr>
        <w:numPr>
          <w:ilvl w:val="1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病程發展：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超急性期（數分鐘內）：高聳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Hyperacute T waves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急性期（數小時內）：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 elevation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數天內：病理性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Q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Pathologic Q wave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波倒置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數週至數月：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段恢復基線，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波持續倒置，病理性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波可永久存在</w:t>
      </w:r>
    </w:p>
    <w:p w:rsidR="00B7072A" w:rsidRDefault="00B7072A">
      <w:pPr>
        <w:numPr>
          <w:ilvl w:val="2"/>
          <w:numId w:val="1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如果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發作後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2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週仍未恢復至基線，可能暗示心室瘤（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Ventricular Aneurysm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形成。這是一種慢性併發症，通常發生於前壁心肌梗塞（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Anterior MI, LAD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供應區域），因為該區心肌壞死後變成纖維化瘢痕（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Scar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），導致局部心室壁失去收縮能力（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Akinetic zone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），甚至在心臟收縮時呈現反向突出（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Dyskinesia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14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Cardiac biomarker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重點：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641"/>
        <w:gridCol w:w="1296"/>
        <w:gridCol w:w="1100"/>
        <w:gridCol w:w="1302"/>
        <w:gridCol w:w="2467"/>
      </w:tblGrid>
      <w:tr w:rsidR="00000000">
        <w:trPr>
          <w:divId w:val="140144620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生物標記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升高時間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高峰時間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持續時間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適用情境</w:t>
            </w:r>
          </w:p>
        </w:tc>
      </w:tr>
      <w:tr w:rsidR="00000000">
        <w:trPr>
          <w:divId w:val="140144620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Troponin I/T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2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24-48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7-14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8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最敏感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、特異的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標記，但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不適合偵測再梗塞</w:t>
            </w:r>
          </w:p>
        </w:tc>
      </w:tr>
      <w:tr w:rsidR="00000000">
        <w:trPr>
          <w:divId w:val="140144620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CK-MB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4-6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2-3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天</w:t>
            </w:r>
          </w:p>
        </w:tc>
        <w:tc>
          <w:tcPr>
            <w:tcW w:w="24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適合</w:t>
            </w: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偵測再梗塞</w:t>
            </w:r>
          </w:p>
        </w:tc>
      </w:tr>
      <w:tr w:rsidR="00000000">
        <w:trPr>
          <w:divId w:val="1401446202"/>
        </w:trPr>
        <w:tc>
          <w:tcPr>
            <w:tcW w:w="17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C00000"/>
                <w:sz w:val="22"/>
                <w:szCs w:val="22"/>
              </w:rPr>
              <w:t>Myoglobin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1-2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18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6-12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14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24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小時</w:t>
            </w:r>
          </w:p>
        </w:tc>
        <w:tc>
          <w:tcPr>
            <w:tcW w:w="268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最快升高，但特異性低</w:t>
            </w:r>
          </w:p>
        </w:tc>
      </w:tr>
    </w:tbl>
    <w:p w:rsidR="00B7072A" w:rsidRDefault="00B7072A">
      <w:pPr>
        <w:numPr>
          <w:ilvl w:val="0"/>
          <w:numId w:val="15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重點整理：</w:t>
      </w:r>
    </w:p>
    <w:p w:rsidR="00B7072A" w:rsidRDefault="00B7072A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目前臨床上主要使用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Troponin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或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）來診斷急性心肌梗塞</w:t>
      </w:r>
    </w:p>
    <w:p w:rsidR="00B7072A" w:rsidRDefault="00B7072A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CK-MB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則可輔助偵測再梗塞</w:t>
      </w:r>
    </w:p>
    <w:p w:rsidR="00B7072A" w:rsidRDefault="00B7072A">
      <w:pPr>
        <w:numPr>
          <w:ilvl w:val="1"/>
          <w:numId w:val="15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Myoglobin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特異性低（骨骼肌損傷也會影響）臨床上較少單獨使用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1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冠狀動脈解剖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noProof/>
          <w:sz w:val="22"/>
          <w:szCs w:val="22"/>
        </w:rPr>
        <w:drawing>
          <wp:inline distT="0" distB="0" distL="0" distR="0">
            <wp:extent cx="3448050" cy="2209800"/>
            <wp:effectExtent l="0" t="0" r="0" b="0"/>
            <wp:docPr id="1" name="圖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48050" cy="2209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主要血管分佈</w:t>
      </w:r>
    </w:p>
    <w:p w:rsidR="00B7072A" w:rsidRDefault="00B7072A">
      <w:pPr>
        <w:numPr>
          <w:ilvl w:val="1"/>
          <w:numId w:val="17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左心冠狀動脈（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Coronary Artery, LCA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Main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分出兩條：</w:t>
      </w:r>
    </w:p>
    <w:p w:rsidR="00B7072A" w:rsidRDefault="00B7072A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LAD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Anterior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沿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interventricular plane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（前降支）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B7072A" w:rsidRDefault="00B7072A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Septal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）：供應心室中隔</w:t>
      </w:r>
    </w:p>
    <w:p w:rsidR="00B7072A" w:rsidRDefault="00B7072A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Diagonal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）：供應左心室前壁</w:t>
      </w:r>
    </w:p>
    <w:p w:rsidR="00B7072A" w:rsidRDefault="00B7072A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LCX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Left Circumflex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繞左心側壁（迴旋支）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分支：</w:t>
      </w:r>
    </w:p>
    <w:p w:rsidR="00B7072A" w:rsidRDefault="00B7072A">
      <w:pPr>
        <w:numPr>
          <w:ilvl w:val="4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Obtuse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OM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）：供應左心室側壁</w:t>
      </w:r>
    </w:p>
    <w:p w:rsidR="00B7072A" w:rsidRDefault="00B7072A">
      <w:pPr>
        <w:numPr>
          <w:ilvl w:val="1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右心冠狀動脈（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Coronary Artery, RCA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主要分支：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Conus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CB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Sinus Node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SA node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Right Ventricular Branch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Acute Marginal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AcM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供應右心室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Posterolateral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供應左心室後壁</w:t>
      </w:r>
    </w:p>
    <w:p w:rsidR="00B7072A" w:rsidRDefault="00B7072A">
      <w:pPr>
        <w:numPr>
          <w:ilvl w:val="3"/>
          <w:numId w:val="17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Posterior Descending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供應左心室下壁、後壁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18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缺血區域對應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 ECG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變化</w:t>
      </w:r>
    </w:p>
    <w:p w:rsidR="00B7072A" w:rsidRDefault="00B7072A">
      <w:pPr>
        <w:numPr>
          <w:ilvl w:val="1"/>
          <w:numId w:val="18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ST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）可用來定位缺血區域，但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）無法確定確切缺血位置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2795"/>
        <w:gridCol w:w="2411"/>
        <w:gridCol w:w="2600"/>
      </w:tblGrid>
      <w:tr w:rsidR="00000000">
        <w:trPr>
          <w:divId w:val="1318144249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缺血區域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供應血管</w:t>
            </w:r>
          </w:p>
        </w:tc>
        <w:tc>
          <w:tcPr>
            <w:tcW w:w="25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導極變化（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18144249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Septum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（中隔）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</w:p>
        </w:tc>
      </w:tr>
      <w:tr w:rsidR="00000000">
        <w:trPr>
          <w:divId w:val="1318144249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Anterior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（前壁）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LAD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V3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</w:t>
            </w:r>
          </w:p>
        </w:tc>
      </w:tr>
      <w:tr w:rsidR="00000000">
        <w:trPr>
          <w:divId w:val="1318144249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Lateral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（側壁）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LCX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LAD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遠端</w:t>
            </w:r>
          </w:p>
        </w:tc>
        <w:tc>
          <w:tcPr>
            <w:tcW w:w="25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V5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V6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aVL</w:t>
            </w:r>
          </w:p>
        </w:tc>
      </w:tr>
      <w:tr w:rsidR="00000000">
        <w:trPr>
          <w:divId w:val="1318144249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Inferior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（下壁）</w:t>
            </w:r>
          </w:p>
        </w:tc>
        <w:tc>
          <w:tcPr>
            <w:tcW w:w="25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RCA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（較常見）或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4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aVF</w:t>
            </w:r>
          </w:p>
        </w:tc>
      </w:tr>
      <w:tr w:rsidR="00000000">
        <w:trPr>
          <w:divId w:val="1318144249"/>
        </w:trPr>
        <w:tc>
          <w:tcPr>
            <w:tcW w:w="291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LV Posterior wall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（後壁）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LCX</w:t>
            </w:r>
          </w:p>
        </w:tc>
        <w:tc>
          <w:tcPr>
            <w:tcW w:w="27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Tall R or STD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318144249"/>
        </w:trPr>
        <w:tc>
          <w:tcPr>
            <w:tcW w:w="28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RV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（右心室）</w:t>
            </w:r>
          </w:p>
        </w:tc>
        <w:tc>
          <w:tcPr>
            <w:tcW w:w="250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RCA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近端</w:t>
            </w:r>
          </w:p>
        </w:tc>
        <w:tc>
          <w:tcPr>
            <w:tcW w:w="252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V4R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（右側導極）</w:t>
            </w:r>
          </w:p>
        </w:tc>
      </w:tr>
    </w:tbl>
    <w:p w:rsidR="00B7072A" w:rsidRDefault="00B7072A">
      <w:pPr>
        <w:pStyle w:val="Web"/>
        <w:spacing w:beforeAutospacing="0" w:afterAutospacing="0"/>
        <w:ind w:left="540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進一步分析（國考常考）</w:t>
      </w:r>
    </w:p>
    <w:p w:rsidR="00B7072A" w:rsidRDefault="00B7072A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III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aVF STE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）常見於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阻塞，但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也可能導致！如何鑑別？</w:t>
      </w:r>
    </w:p>
    <w:p w:rsidR="00B7072A" w:rsidRDefault="00B7072A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觀察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lead II vs. lead III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</w:p>
    <w:p w:rsidR="00B7072A" w:rsidRDefault="00B7072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Lead III STE &gt; Lead II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B7072A" w:rsidRDefault="00B7072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Lead II STE &gt; Lead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，且側壁（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aVL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）也有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LCX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阻塞</w:t>
      </w:r>
    </w:p>
    <w:p w:rsidR="00B7072A" w:rsidRDefault="00B7072A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右心室受累（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RV infarction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V4R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→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RCA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近端阻塞</w:t>
      </w:r>
    </w:p>
    <w:p w:rsidR="00B7072A" w:rsidRDefault="00B7072A">
      <w:pPr>
        <w:numPr>
          <w:ilvl w:val="3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臨床意義：</w:t>
      </w:r>
    </w:p>
    <w:p w:rsidR="00B7072A" w:rsidRDefault="00B7072A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右心梗塞不可使用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Nitrate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NTG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）！</w:t>
      </w:r>
    </w:p>
    <w:p w:rsidR="00B7072A" w:rsidRDefault="00B7072A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需補充體液（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Hydration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以維持前負荷</w:t>
      </w:r>
    </w:p>
    <w:p w:rsidR="00B7072A" w:rsidRDefault="00B7072A">
      <w:pPr>
        <w:numPr>
          <w:ilvl w:val="4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下壁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會合併右心梗塞</w:t>
      </w:r>
    </w:p>
    <w:p w:rsidR="00B7072A" w:rsidRDefault="00B7072A">
      <w:pPr>
        <w:numPr>
          <w:ilvl w:val="0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後壁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Posterior MI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</w:p>
    <w:p w:rsidR="00B7072A" w:rsidRDefault="00B7072A">
      <w:pPr>
        <w:numPr>
          <w:ilvl w:val="1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變化</w:t>
      </w:r>
    </w:p>
    <w:p w:rsidR="00B7072A" w:rsidRDefault="00B7072A">
      <w:pPr>
        <w:numPr>
          <w:ilvl w:val="2"/>
          <w:numId w:val="19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Tall R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Q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波）</w:t>
      </w:r>
    </w:p>
    <w:p w:rsidR="00B7072A" w:rsidRDefault="00B7072A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V1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V2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段壓低（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STD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）（對應後壁的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可合併下壁或側壁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</w:t>
      </w:r>
    </w:p>
    <w:p w:rsidR="00B7072A" w:rsidRDefault="00B7072A">
      <w:pPr>
        <w:numPr>
          <w:ilvl w:val="2"/>
          <w:numId w:val="19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V7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V9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（後側導極）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可確診</w:t>
      </w:r>
    </w:p>
    <w:p w:rsidR="00B7072A" w:rsidRDefault="00B7072A">
      <w:pPr>
        <w:pStyle w:val="Web"/>
        <w:spacing w:before="0" w:beforeAutospacing="0" w:after="0" w:afterAutospacing="0"/>
        <w:ind w:left="108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20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STEMI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急性治療（國考考點）</w:t>
      </w:r>
    </w:p>
    <w:p w:rsidR="00B7072A" w:rsidRDefault="00B7072A">
      <w:pPr>
        <w:numPr>
          <w:ilvl w:val="1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治療目標：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立即恢復心肌灌流（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Time is muscle!</w:t>
      </w: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）</w:t>
      </w:r>
    </w:p>
    <w:p w:rsidR="00B7072A" w:rsidRDefault="00B7072A">
      <w:pPr>
        <w:numPr>
          <w:ilvl w:val="2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Primary PCI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（首選！）</w:t>
      </w:r>
    </w:p>
    <w:p w:rsidR="00B7072A" w:rsidRDefault="00B7072A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Door-to-Balloon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90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B7072A" w:rsidRDefault="00B7072A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Primary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」指的是未先給血栓溶解劑，直接進行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（經皮冠狀動脈介入治療）</w:t>
      </w:r>
    </w:p>
    <w:p w:rsidR="00B7072A" w:rsidRDefault="00B7072A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比血栓溶解劑更能降低死亡率、再梗塞風險</w:t>
      </w:r>
    </w:p>
    <w:p w:rsidR="00B7072A" w:rsidRDefault="00B7072A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若能在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，優先選擇！</w:t>
      </w:r>
    </w:p>
    <w:p w:rsidR="00B7072A" w:rsidRDefault="00B7072A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Killip class </w:t>
      </w:r>
      <w:r>
        <w:rPr>
          <w:rFonts w:ascii="Cambria Math" w:eastAsia="Microsoft JhengHei Light" w:hAnsi="Cambria Math" w:cs="Cambria Math"/>
          <w:color w:val="000000"/>
          <w:sz w:val="22"/>
          <w:szCs w:val="22"/>
        </w:rPr>
        <w:t>≥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III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（心衰、休克）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有血栓溶解劑的禁忌症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高出血風險</w:t>
      </w:r>
    </w:p>
    <w:p w:rsidR="00B7072A" w:rsidRDefault="00B7072A">
      <w:pPr>
        <w:numPr>
          <w:ilvl w:val="2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Thrombolytic Therapy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（血栓溶解劑）</w:t>
      </w:r>
    </w:p>
    <w:p w:rsidR="00B7072A" w:rsidRDefault="00B7072A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目標：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Door-to-Needle </w:t>
      </w:r>
      <w:r>
        <w:rPr>
          <w:rFonts w:ascii="Cambria Math" w:hAnsi="Cambria Math" w:cs="Calibri"/>
          <w:color w:val="C00000"/>
          <w:sz w:val="22"/>
          <w:szCs w:val="22"/>
          <w:lang w:val=""/>
        </w:rPr>
        <w:t>≤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 xml:space="preserve"> 30 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分鐘</w:t>
      </w:r>
    </w:p>
    <w:p w:rsidR="00B7072A" w:rsidRDefault="00B7072A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適用於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B7072A" w:rsidRDefault="00B7072A">
      <w:pPr>
        <w:numPr>
          <w:ilvl w:val="3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施打後仍須立即轉診至可做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的醫院</w:t>
      </w:r>
    </w:p>
    <w:p w:rsidR="00B7072A" w:rsidRDefault="00B7072A">
      <w:pPr>
        <w:numPr>
          <w:ilvl w:val="3"/>
          <w:numId w:val="20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適用對象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症狀發作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&lt;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小時，超過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3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小時效果下降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無禁忌症</w:t>
      </w:r>
    </w:p>
    <w:p w:rsidR="00B7072A" w:rsidRDefault="00B7072A">
      <w:pPr>
        <w:numPr>
          <w:ilvl w:val="4"/>
          <w:numId w:val="20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無法在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120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分鐘內完成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PCI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p w:rsidR="00B7072A" w:rsidRDefault="00B7072A">
      <w:pPr>
        <w:numPr>
          <w:ilvl w:val="0"/>
          <w:numId w:val="21"/>
        </w:numPr>
        <w:textAlignment w:val="center"/>
        <w:rPr>
          <w:rFonts w:ascii="Calibri" w:hAnsi="Calibri" w:cs="Calibri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再灌流策略（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 xml:space="preserve">PCI vs. 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溶栓）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721"/>
        <w:gridCol w:w="2362"/>
        <w:gridCol w:w="1947"/>
        <w:gridCol w:w="1776"/>
      </w:tblGrid>
      <w:tr w:rsidR="00000000">
        <w:trPr>
          <w:divId w:val="209632340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治療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適應症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時間限制</w:t>
            </w:r>
          </w:p>
        </w:tc>
        <w:tc>
          <w:tcPr>
            <w:tcW w:w="18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備註</w:t>
            </w:r>
          </w:p>
        </w:tc>
      </w:tr>
      <w:tr w:rsidR="00000000">
        <w:trPr>
          <w:divId w:val="209632340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（首選）</w:t>
            </w:r>
          </w:p>
        </w:tc>
        <w:tc>
          <w:tcPr>
            <w:tcW w:w="263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診斷，且可在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Door-to-balloon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最佳療法，較少出血風險</w:t>
            </w:r>
          </w:p>
        </w:tc>
      </w:tr>
      <w:tr w:rsidR="00000000">
        <w:trPr>
          <w:divId w:val="2096323406"/>
        </w:trPr>
        <w:tc>
          <w:tcPr>
            <w:tcW w:w="179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Fibrinolysis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（溶栓治療）</w:t>
            </w:r>
          </w:p>
        </w:tc>
        <w:tc>
          <w:tcPr>
            <w:tcW w:w="262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無法在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  <w:tc>
          <w:tcPr>
            <w:tcW w:w="21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Door-to-needle time </w:t>
            </w:r>
            <w:r>
              <w:rPr>
                <w:rFonts w:ascii="Cambria Math" w:eastAsia="微軟正黑體" w:hAnsi="Cambria Math" w:cs="Cambria Math"/>
                <w:color w:val="000000"/>
                <w:sz w:val="22"/>
                <w:szCs w:val="22"/>
              </w:rPr>
              <w:t>≤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</w:t>
            </w:r>
          </w:p>
        </w:tc>
        <w:tc>
          <w:tcPr>
            <w:tcW w:w="198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適用於無法立即進行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的情況</w:t>
            </w:r>
          </w:p>
        </w:tc>
      </w:tr>
    </w:tbl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7072A" w:rsidRDefault="00B7072A">
      <w:pPr>
        <w:numPr>
          <w:ilvl w:val="0"/>
          <w:numId w:val="22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根據衛福部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治療指引與臨床實務，以下是常見的醫院內部處置時間（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Door-to-Reperfusion Time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）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 xml:space="preserve"> 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目標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3913"/>
        <w:gridCol w:w="3893"/>
      </w:tblGrid>
      <w:tr w:rsidR="00000000">
        <w:trPr>
          <w:divId w:val="228156791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步驟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時間目標</w:t>
            </w:r>
          </w:p>
        </w:tc>
      </w:tr>
      <w:tr w:rsidR="00000000">
        <w:trPr>
          <w:divId w:val="228156791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導程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ECG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，確認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STEMI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診斷</w:t>
            </w:r>
          </w:p>
        </w:tc>
      </w:tr>
      <w:tr w:rsidR="00000000">
        <w:trPr>
          <w:divId w:val="228156791"/>
        </w:trPr>
        <w:tc>
          <w:tcPr>
            <w:tcW w:w="41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30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Door-to-Needle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（血栓溶解劑），應完成投藥</w:t>
            </w:r>
          </w:p>
        </w:tc>
      </w:tr>
      <w:tr w:rsidR="00000000">
        <w:trPr>
          <w:divId w:val="228156791"/>
        </w:trPr>
        <w:tc>
          <w:tcPr>
            <w:tcW w:w="416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到院後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90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4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若適用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Primary PCI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，應完成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氣球擴張</w:t>
            </w:r>
          </w:p>
        </w:tc>
      </w:tr>
      <w:tr w:rsidR="00000000">
        <w:trPr>
          <w:divId w:val="228156791"/>
        </w:trPr>
        <w:tc>
          <w:tcPr>
            <w:tcW w:w="413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轉院病人（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Door-to-Balloon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07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120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分鐘內完成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PCI</w:t>
            </w:r>
          </w:p>
        </w:tc>
      </w:tr>
    </w:tbl>
    <w:p w:rsidR="00B7072A" w:rsidRDefault="00B7072A">
      <w:pPr>
        <w:numPr>
          <w:ilvl w:val="0"/>
          <w:numId w:val="23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常見溶栓藥物：</w:t>
      </w:r>
    </w:p>
    <w:p w:rsidR="00B7072A" w:rsidRDefault="00B7072A">
      <w:pPr>
        <w:numPr>
          <w:ilvl w:val="1"/>
          <w:numId w:val="23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）、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Tenecteplase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TNK-tPA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0"/>
          <w:numId w:val="24"/>
        </w:numPr>
        <w:textAlignment w:val="center"/>
        <w:rPr>
          <w:rFonts w:ascii="Calibri" w:hAnsi="Calibri" w:cs="Calibri"/>
          <w:color w:val="2E75B5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2E75B5"/>
          <w:sz w:val="28"/>
          <w:szCs w:val="28"/>
        </w:rPr>
        <w:t>禁忌症（國考愛考）</w:t>
      </w:r>
    </w:p>
    <w:p w:rsidR="00B7072A" w:rsidRDefault="00B7072A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近期出血性中風</w:t>
      </w:r>
    </w:p>
    <w:p w:rsidR="00B7072A" w:rsidRDefault="00B7072A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活動性內出血（如消化道出血）</w:t>
      </w:r>
    </w:p>
    <w:p w:rsidR="00B7072A" w:rsidRDefault="00B7072A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未控制的高血壓（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SBP &gt;180 mmHg</w:t>
      </w: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）</w:t>
      </w:r>
    </w:p>
    <w:p w:rsidR="00B7072A" w:rsidRDefault="00B7072A">
      <w:pPr>
        <w:numPr>
          <w:ilvl w:val="1"/>
          <w:numId w:val="24"/>
        </w:numPr>
        <w:textAlignment w:val="center"/>
        <w:rPr>
          <w:rFonts w:ascii="Calibri" w:hAnsi="Calibri" w:cs="Calibri"/>
          <w:color w:val="C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C00000"/>
          <w:sz w:val="22"/>
          <w:szCs w:val="22"/>
        </w:rPr>
        <w:t>主動脈剝離疑慮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25"/>
        </w:numPr>
        <w:textAlignment w:val="center"/>
        <w:rPr>
          <w:rFonts w:ascii="Calibri" w:hAnsi="Calibri" w:cs="Calibri" w:hint="eastAsia"/>
          <w:color w:val="1E4E79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急性期藥物治療（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MONA-B</w:t>
      </w:r>
      <w:r>
        <w:rPr>
          <w:rFonts w:ascii="微軟正黑體" w:eastAsia="微軟正黑體" w:hAnsi="微軟正黑體" w:cs="Calibri" w:hint="eastAsia"/>
          <w:color w:val="1E4E79"/>
          <w:sz w:val="32"/>
          <w:szCs w:val="32"/>
        </w:rPr>
        <w:t>）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904"/>
        <w:gridCol w:w="3040"/>
        <w:gridCol w:w="3862"/>
      </w:tblGrid>
      <w:tr w:rsidR="00000000">
        <w:trPr>
          <w:divId w:val="93201010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縮寫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</w:t>
            </w:r>
          </w:p>
        </w:tc>
      </w:tr>
      <w:tr w:rsidR="00000000">
        <w:trPr>
          <w:divId w:val="93201010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Morphine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緩解疼痛，減少交感興奮</w:t>
            </w:r>
          </w:p>
        </w:tc>
      </w:tr>
      <w:tr w:rsidR="00000000">
        <w:trPr>
          <w:divId w:val="93201010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Oxygen</w:t>
            </w:r>
          </w:p>
        </w:tc>
        <w:tc>
          <w:tcPr>
            <w:tcW w:w="406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僅限於血氧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&lt;90%</w:t>
            </w:r>
          </w:p>
        </w:tc>
      </w:tr>
      <w:tr w:rsidR="00000000">
        <w:trPr>
          <w:divId w:val="93201010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緩解心絞痛，但不可用於右心室梗塞</w:t>
            </w:r>
          </w:p>
        </w:tc>
      </w:tr>
      <w:tr w:rsidR="00000000">
        <w:trPr>
          <w:divId w:val="93201010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</w:t>
            </w:r>
          </w:p>
        </w:tc>
        <w:tc>
          <w:tcPr>
            <w:tcW w:w="32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300 mg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+ 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受體拮抗劑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（雙重抗血小板治療），如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</w:tr>
      <w:tr w:rsidR="00000000">
        <w:trPr>
          <w:divId w:val="932010108"/>
        </w:trPr>
        <w:tc>
          <w:tcPr>
            <w:tcW w:w="96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</w:t>
            </w:r>
          </w:p>
        </w:tc>
        <w:tc>
          <w:tcPr>
            <w:tcW w:w="31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Beta-blocker</w:t>
            </w:r>
          </w:p>
        </w:tc>
        <w:tc>
          <w:tcPr>
            <w:tcW w:w="4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減少心肌氧耗，避免再發生心律不整</w:t>
            </w:r>
          </w:p>
        </w:tc>
      </w:tr>
    </w:tbl>
    <w:p w:rsidR="00B7072A" w:rsidRDefault="00B7072A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32"/>
          <w:szCs w:val="3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 </w:t>
      </w:r>
    </w:p>
    <w:p w:rsidR="00B7072A" w:rsidRDefault="00B7072A">
      <w:pPr>
        <w:numPr>
          <w:ilvl w:val="0"/>
          <w:numId w:val="26"/>
        </w:numPr>
        <w:spacing w:before="100" w:after="100"/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住院與長期治療</w:t>
      </w:r>
    </w:p>
    <w:p w:rsidR="00B7072A" w:rsidRDefault="00B7072A">
      <w:pPr>
        <w:numPr>
          <w:ilvl w:val="1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藥物治療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DAPT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（雙重抗血小板治療）：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Aspirin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+ P2Y12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抑制劑（至少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12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個月）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Statin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（高強度）：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Atorvastatin 40-80 mg / Rosuvastatin 20-40 mg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ACEI / ARB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：減少心臟重塑，預防心衰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Beta-blocker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：降低猝死風險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Aldosterone antagonist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Spironolactone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LVEF &lt;40%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或合併心衰患者</w:t>
      </w:r>
    </w:p>
    <w:p w:rsidR="00B7072A" w:rsidRDefault="00B7072A">
      <w:pPr>
        <w:numPr>
          <w:ilvl w:val="1"/>
          <w:numId w:val="26"/>
        </w:numPr>
        <w:spacing w:before="100" w:after="100"/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8"/>
          <w:szCs w:val="28"/>
        </w:rPr>
        <w:t>生活習慣調整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戒菸（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Smoking cessation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控制三高（高血壓、糖尿病、高血脂）</w:t>
      </w:r>
    </w:p>
    <w:p w:rsidR="00B7072A" w:rsidRDefault="00B7072A">
      <w:pPr>
        <w:numPr>
          <w:ilvl w:val="2"/>
          <w:numId w:val="26"/>
        </w:numPr>
        <w:textAlignment w:val="center"/>
        <w:rPr>
          <w:rFonts w:ascii="Calibri" w:hAnsi="Calibri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規律運動（適量有氧運動）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160"/>
        <w:gridCol w:w="2481"/>
        <w:gridCol w:w="2219"/>
        <w:gridCol w:w="1946"/>
      </w:tblGrid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特徵</w:t>
            </w:r>
          </w:p>
        </w:tc>
        <w:tc>
          <w:tcPr>
            <w:tcW w:w="27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（不穩定型心絞痛）</w:t>
            </w:r>
          </w:p>
        </w:tc>
        <w:tc>
          <w:tcPr>
            <w:tcW w:w="238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（非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  <w:tc>
          <w:tcPr>
            <w:tcW w:w="210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STEMI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段抬高型心肌梗塞）</w:t>
            </w:r>
          </w:p>
        </w:tc>
      </w:tr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血管阻塞程度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部分阻塞</w:t>
            </w:r>
          </w:p>
        </w:tc>
        <w:tc>
          <w:tcPr>
            <w:tcW w:w="212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完全阻塞（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100%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症狀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&lt;30 min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胸痛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&gt;30 min</w:t>
            </w:r>
          </w:p>
        </w:tc>
      </w:tr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心肌壞死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無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有（更嚴重）</w:t>
            </w:r>
          </w:p>
        </w:tc>
      </w:tr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心肌酵素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正常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  <w:tc>
          <w:tcPr>
            <w:tcW w:w="182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上升</w:t>
            </w:r>
          </w:p>
        </w:tc>
      </w:tr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ECG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變化</w:t>
            </w:r>
          </w:p>
        </w:tc>
        <w:tc>
          <w:tcPr>
            <w:tcW w:w="272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可能正常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/ 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 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4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depression/ 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波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inversion</w:t>
            </w:r>
          </w:p>
        </w:tc>
        <w:tc>
          <w:tcPr>
            <w:tcW w:w="204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ST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段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elevation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個相鄰導程）</w:t>
            </w:r>
          </w:p>
        </w:tc>
      </w:tr>
      <w:tr w:rsidR="00000000">
        <w:trPr>
          <w:divId w:val="1531190240"/>
        </w:trPr>
        <w:tc>
          <w:tcPr>
            <w:tcW w:w="12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主要治療</w:t>
            </w:r>
          </w:p>
        </w:tc>
        <w:tc>
          <w:tcPr>
            <w:tcW w:w="274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抗血小板、抗凝、硝酸鹽</w:t>
            </w:r>
          </w:p>
        </w:tc>
        <w:tc>
          <w:tcPr>
            <w:tcW w:w="237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抗血小板、抗凝、β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989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急診再灌注治療（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PCI / tPA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</w:tbl>
    <w:p w:rsidR="00B7072A" w:rsidRDefault="00B7072A">
      <w:pPr>
        <w:numPr>
          <w:ilvl w:val="0"/>
          <w:numId w:val="27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記憶要點</w:t>
      </w:r>
    </w:p>
    <w:p w:rsidR="00B7072A" w:rsidRDefault="00B7072A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最大區別：心肌酵素是否上升（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NSTEMI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↑，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UA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正常）</w:t>
      </w:r>
    </w:p>
    <w:p w:rsidR="00B7072A" w:rsidRDefault="00B7072A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與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最大區別：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ECG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是否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ST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段抬高（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有，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NSTEMI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無）</w:t>
      </w:r>
    </w:p>
    <w:p w:rsidR="00B7072A" w:rsidRDefault="00B7072A">
      <w:pPr>
        <w:numPr>
          <w:ilvl w:val="1"/>
          <w:numId w:val="27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STEMI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必須緊急再灌注治療（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PCI 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或溶栓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 xml:space="preserve"> tPA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）</w:t>
      </w:r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numPr>
          <w:ilvl w:val="0"/>
          <w:numId w:val="28"/>
        </w:numPr>
        <w:textAlignment w:val="center"/>
        <w:rPr>
          <w:rFonts w:ascii="Calibri" w:hAnsi="Calibri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ACS</w:t>
      </w:r>
      <w:r>
        <w:rPr>
          <w:rFonts w:ascii="微軟正黑體" w:eastAsia="微軟正黑體" w:hAnsi="微軟正黑體" w:cs="Calibri" w:hint="eastAsia"/>
          <w:color w:val="000000"/>
          <w:sz w:val="32"/>
          <w:szCs w:val="32"/>
        </w:rPr>
        <w:t>藥物整理</w:t>
      </w:r>
    </w:p>
    <w:tbl>
      <w:tblPr>
        <w:tblW w:w="0" w:type="auto"/>
        <w:tblInd w:w="480" w:type="dxa"/>
        <w:tblBorders>
          <w:top w:val="single" w:sz="8" w:space="0" w:color="A3A3A3"/>
          <w:left w:val="single" w:sz="8" w:space="0" w:color="A3A3A3"/>
          <w:bottom w:val="single" w:sz="8" w:space="0" w:color="A3A3A3"/>
          <w:right w:val="single" w:sz="8" w:space="0" w:color="A3A3A3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  <w:tblCaption w:val=""/>
        <w:tblDescription w:val=""/>
      </w:tblPr>
      <w:tblGrid>
        <w:gridCol w:w="1018"/>
        <w:gridCol w:w="1512"/>
        <w:gridCol w:w="1612"/>
        <w:gridCol w:w="1395"/>
        <w:gridCol w:w="1865"/>
        <w:gridCol w:w="1393"/>
      </w:tblGrid>
      <w:tr w:rsidR="00000000">
        <w:trPr>
          <w:divId w:val="2003043947"/>
        </w:trPr>
        <w:tc>
          <w:tcPr>
            <w:tcW w:w="110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藥物類別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代表藥物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作用機制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臨床作用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05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jc w:val="center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注意事項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抗血小板藥物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Aspirin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COX-1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TXA2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減少血小板聚集，預防血栓形成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胃潰瘍、出血風險、氣喘（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AERD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長期使用需注意消化道潰瘍，可與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PPI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ADP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），抑制血小板聚集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與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Aspirin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併用（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DAPT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），預防支架血栓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出血、血小板減少症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選擇藥物依患者特徵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Clopidogrel</w:t>
            </w:r>
          </w:p>
        </w:tc>
        <w:tc>
          <w:tcPr>
            <w:tcW w:w="1587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需肝臟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代謝，藥效延遲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反應較差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基因多型性影響藥效，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CYP2C19 poor metabolizer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避免使用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Prasugrel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不可逆抑制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，作用強於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更快、更強，但出血風險高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出血風險較高</w:t>
            </w:r>
          </w:p>
        </w:tc>
        <w:tc>
          <w:tcPr>
            <w:tcW w:w="141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75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歲以上、低體重（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&lt;60 kg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）、卒中病史禁用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P2Y12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</w:t>
            </w:r>
          </w:p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 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Ticagrelor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P2Y12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，非前驅藥（直接作用）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Clopidogrel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更快、更強，不受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CYP2C19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影響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呼吸困難（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Dyspnea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）、高尿酸血症、出血風險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BID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服用，依從性較差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UFH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透過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 III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Factor 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&amp; Xa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速效，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PCI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前常用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HIT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aPTT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風險高時避免使用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Enoxaparin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LMWH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主要抑制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Factor Xa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，部分抑制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半衰期較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UFH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長，皮下注射給藥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肌酐清除率（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CrCl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時調整劑量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抗凝劑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Bivalirudin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直接抑制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Thrombin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IIa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），不經過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Antithrombin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可替代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Heparin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，降低出血風險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出血、腎功能不佳者需調整劑量</w:t>
            </w:r>
          </w:p>
        </w:tc>
        <w:tc>
          <w:tcPr>
            <w:tcW w:w="129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常用於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HIT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風險高者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血管擴張劑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Nitroglycerin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NTG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轉換為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NO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，活化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cGMP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，血管擴張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緩解心絞痛、降低心肌耗氧量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頭痛、低血壓、反射性心動過速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禁忌：使用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PDE5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抑制劑者（如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Sildenafil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</w:t>
            </w:r>
          </w:p>
        </w:tc>
      </w:tr>
      <w:tr w:rsidR="00000000">
        <w:trPr>
          <w:divId w:val="2003043947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Metoprolol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（選擇性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阻斷劑）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抑制β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1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受體，減少心肌收縮力與心率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降低心肌氧需求，減少猝死風險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禁忌：心源性休克、急性心衰竭、嚴重支氣管痙攣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合併低血壓或心動過緩者應避免使用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ACEI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Enalapril, Ramipril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ACE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Angiotensin II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生成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降低血壓、減少心臟重塑，適用於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LVEF &lt;40%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或糖尿病患者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乾咳（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ACEI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特有）、高血鉀、低血壓、腎功能惡化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腎動脈狹窄患者禁用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ARB</w:t>
            </w:r>
          </w:p>
        </w:tc>
        <w:tc>
          <w:tcPr>
            <w:tcW w:w="1598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Losartan, Valsartan</w:t>
            </w:r>
          </w:p>
        </w:tc>
        <w:tc>
          <w:tcPr>
            <w:tcW w:w="159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阻斷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Angiotensin II AT1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作用類似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ACEI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，但無乾咳副作用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高血鉀、低血壓、腎功能惡化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腎功能不佳患者需監測血鉀</w:t>
            </w:r>
          </w:p>
        </w:tc>
      </w:tr>
      <w:tr w:rsidR="00000000">
        <w:trPr>
          <w:divId w:val="2003043947"/>
        </w:trPr>
        <w:tc>
          <w:tcPr>
            <w:tcW w:w="1132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還原酶抑制劑）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Atorvastatin 40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80 mg</w:t>
            </w:r>
          </w:p>
        </w:tc>
        <w:tc>
          <w:tcPr>
            <w:tcW w:w="161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抑制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HMG-CoA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還原酶，減少肝臟膽固醇合成，增加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受體表達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顯著降低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LDL-C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，穩定斑塊，抗發炎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肝酵素上升、肌肉痠痛（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myopathy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）、橫紋肌溶解（罕見）</w:t>
            </w:r>
          </w:p>
        </w:tc>
        <w:tc>
          <w:tcPr>
            <w:tcW w:w="1430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需監測肝功能及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CK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（若有肌肉症狀）</w:t>
            </w:r>
          </w:p>
        </w:tc>
      </w:tr>
      <w:tr w:rsidR="00000000">
        <w:trPr>
          <w:divId w:val="2003043947"/>
        </w:trPr>
        <w:tc>
          <w:tcPr>
            <w:tcW w:w="110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Calibri" w:hAnsi="Calibri" w:cs="Calibri" w:hint="eastAsia"/>
                <w:sz w:val="22"/>
                <w:szCs w:val="22"/>
              </w:rPr>
            </w:pPr>
            <w:r>
              <w:rPr>
                <w:rFonts w:ascii="Calibri" w:hAnsi="Calibri" w:cs="Calibri"/>
                <w:sz w:val="22"/>
                <w:szCs w:val="22"/>
              </w:rPr>
              <w:t>Statin</w:t>
            </w:r>
          </w:p>
        </w:tc>
        <w:tc>
          <w:tcPr>
            <w:tcW w:w="1626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Rosuvastatin 20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–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40 mg</w:t>
            </w:r>
          </w:p>
        </w:tc>
        <w:tc>
          <w:tcPr>
            <w:tcW w:w="160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效力更強的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</w:p>
        </w:tc>
        <w:tc>
          <w:tcPr>
            <w:tcW w:w="1524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高強度降脂，適用於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ACS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患者</w:t>
            </w:r>
          </w:p>
        </w:tc>
        <w:tc>
          <w:tcPr>
            <w:tcW w:w="1551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腎功能不佳者須調整劑量，類似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 Atorvastatin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副作用</w:t>
            </w:r>
          </w:p>
        </w:tc>
        <w:tc>
          <w:tcPr>
            <w:tcW w:w="1323" w:type="dxa"/>
            <w:tcBorders>
              <w:top w:val="single" w:sz="8" w:space="0" w:color="A3A3A3"/>
              <w:left w:val="single" w:sz="8" w:space="0" w:color="A3A3A3"/>
              <w:bottom w:val="single" w:sz="8" w:space="0" w:color="A3A3A3"/>
              <w:right w:val="single" w:sz="8" w:space="0" w:color="A3A3A3"/>
            </w:tcBorders>
            <w:tcMar>
              <w:top w:w="80" w:type="dxa"/>
              <w:left w:w="80" w:type="dxa"/>
              <w:bottom w:w="80" w:type="dxa"/>
              <w:right w:w="80" w:type="dxa"/>
            </w:tcMar>
            <w:hideMark/>
          </w:tcPr>
          <w:p w:rsidR="00B7072A" w:rsidRDefault="00B7072A">
            <w:pPr>
              <w:pStyle w:val="Web"/>
              <w:spacing w:before="0" w:beforeAutospacing="0" w:after="0" w:afterAutospacing="0"/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</w:pP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 xml:space="preserve">CrCl &lt;30 mL/min </w:t>
            </w:r>
            <w:r>
              <w:rPr>
                <w:rFonts w:ascii="微軟正黑體" w:eastAsia="微軟正黑體" w:hAnsi="微軟正黑體" w:hint="eastAsia"/>
                <w:color w:val="000000"/>
                <w:sz w:val="22"/>
                <w:szCs w:val="22"/>
              </w:rPr>
              <w:t>時，建議減量</w:t>
            </w:r>
          </w:p>
        </w:tc>
      </w:tr>
    </w:tbl>
    <w:p w:rsidR="00B7072A" w:rsidRDefault="00B7072A">
      <w:pPr>
        <w:pStyle w:val="Web"/>
        <w:spacing w:before="0" w:beforeAutospacing="0" w:after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 </w:t>
      </w:r>
    </w:p>
    <w:p w:rsidR="00B7072A" w:rsidRDefault="00B7072A">
      <w:pPr>
        <w:pStyle w:val="Web"/>
        <w:spacing w:beforeAutospacing="0" w:afterAutospacing="0"/>
        <w:ind w:left="540"/>
        <w:rPr>
          <w:rFonts w:ascii="微軟正黑體" w:eastAsia="微軟正黑體" w:hAnsi="微軟正黑體" w:cs="Calibri" w:hint="eastAsia"/>
          <w:color w:val="000000"/>
          <w:sz w:val="22"/>
          <w:szCs w:val="22"/>
        </w:rPr>
      </w:pP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REFERENCE</w:t>
      </w:r>
      <w:r>
        <w:rPr>
          <w:rFonts w:ascii="微軟正黑體" w:eastAsia="微軟正黑體" w:hAnsi="微軟正黑體" w:cs="Calibri" w:hint="eastAsia"/>
          <w:color w:val="000000"/>
          <w:sz w:val="22"/>
          <w:szCs w:val="22"/>
        </w:rPr>
        <w:t>：</w:t>
      </w:r>
    </w:p>
    <w:p w:rsidR="00B7072A" w:rsidRDefault="00B7072A">
      <w:pPr>
        <w:numPr>
          <w:ilvl w:val="0"/>
          <w:numId w:val="29"/>
        </w:numPr>
        <w:spacing w:before="100" w:after="100"/>
        <w:textAlignment w:val="center"/>
        <w:rPr>
          <w:rFonts w:ascii="Calibri" w:hAnsi="Calibri" w:cs="Calibri" w:hint="eastAsia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HARRISON Principles of Internal Medicine 20th Edition</w:t>
      </w:r>
    </w:p>
    <w:p w:rsidR="00B7072A" w:rsidRDefault="00B7072A">
      <w:pPr>
        <w:numPr>
          <w:ilvl w:val="0"/>
          <w:numId w:val="30"/>
        </w:numPr>
        <w:textAlignment w:val="center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Boards &amp; Beyonds</w:t>
      </w:r>
      <w:r>
        <w:rPr>
          <w:rFonts w:ascii="微軟正黑體" w:eastAsia="微軟正黑體" w:hAnsi="微軟正黑體" w:cs="Calibri" w:hint="eastAsia"/>
          <w:sz w:val="22"/>
          <w:szCs w:val="22"/>
        </w:rPr>
        <w:t>：</w:t>
      </w:r>
      <w:r>
        <w:rPr>
          <w:rFonts w:ascii="Calibri" w:hAnsi="Calibri" w:cs="Calibri"/>
          <w:sz w:val="22"/>
          <w:szCs w:val="22"/>
        </w:rPr>
        <w:t>STEMI</w:t>
      </w:r>
    </w:p>
    <w:p w:rsidR="00B7072A" w:rsidRDefault="00B7072A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8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https://www.tsoc.org.tw/upload/files/acs-39-004-1(1).pdf</w:t>
        </w:r>
      </w:hyperlink>
    </w:p>
    <w:p w:rsidR="00B7072A" w:rsidRDefault="00B7072A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9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https://www.tsoc.org.tw/upload/files/2018%20Guidelines%20of%20TSOC_EM%20and%20TSCI%20for%20the%20management%20of%20non%20ST-segment%20elevation%20acute%20coronary%20syndrome(1).pdf</w:t>
        </w:r>
      </w:hyperlink>
    </w:p>
    <w:p w:rsidR="00B7072A" w:rsidRDefault="00B7072A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0" w:history="1">
        <w:r>
          <w:rPr>
            <w:rStyle w:val="a3"/>
            <w:rFonts w:ascii="微軟正黑體" w:eastAsia="微軟正黑體" w:hAnsi="微軟正黑體" w:cs="Calibri" w:hint="eastAsia"/>
            <w:sz w:val="22"/>
            <w:szCs w:val="22"/>
          </w:rPr>
          <w:t>https://www.ahajournals.org/doi/10.1161/CIR.0000000000001309</w:t>
        </w:r>
      </w:hyperlink>
    </w:p>
    <w:p w:rsidR="00B7072A" w:rsidRDefault="00B7072A">
      <w:pPr>
        <w:numPr>
          <w:ilvl w:val="0"/>
          <w:numId w:val="31"/>
        </w:numPr>
        <w:spacing w:before="100" w:after="100"/>
        <w:textAlignment w:val="center"/>
        <w:rPr>
          <w:rFonts w:ascii="Calibri" w:hAnsi="Calibri" w:cs="Calibri"/>
          <w:sz w:val="22"/>
          <w:szCs w:val="22"/>
        </w:rPr>
      </w:pPr>
      <w:hyperlink r:id="rId11" w:history="1">
        <w:r>
          <w:rPr>
            <w:rStyle w:val="a3"/>
            <w:rFonts w:ascii="Calibri" w:hAnsi="Calibri" w:cs="Calibri"/>
            <w:sz w:val="22"/>
            <w:szCs w:val="22"/>
          </w:rPr>
          <w:t>https://commons.wikimedia.org/wiki/File:Coronary_vessels,_with_annotated_arteries.svg</w:t>
        </w:r>
      </w:hyperlink>
    </w:p>
    <w:p w:rsidR="00B7072A" w:rsidRDefault="00B7072A">
      <w:pPr>
        <w:pStyle w:val="Web"/>
        <w:spacing w:before="0" w:beforeAutospacing="0" w:after="0" w:afterAutospacing="0"/>
        <w:ind w:left="540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 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7072A" w:rsidRDefault="00B7072A" w:rsidP="00B7072A">
      <w:r>
        <w:separator/>
      </w:r>
    </w:p>
  </w:endnote>
  <w:endnote w:type="continuationSeparator" w:id="0">
    <w:p w:rsidR="00B7072A" w:rsidRDefault="00B7072A" w:rsidP="00B7072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icrosoft JhengHei Light">
    <w:charset w:val="88"/>
    <w:family w:val="swiss"/>
    <w:pitch w:val="variable"/>
    <w:sig w:usb0="800002A7" w:usb1="28CF4400" w:usb2="00000016" w:usb3="00000000" w:csb0="00100009" w:csb1="00000000"/>
  </w:font>
  <w:font w:name="微軟正黑體">
    <w:panose1 w:val="020B0604030504040204"/>
    <w:charset w:val="88"/>
    <w:family w:val="swiss"/>
    <w:pitch w:val="variable"/>
    <w:sig w:usb0="000002A7" w:usb1="28CF4400" w:usb2="00000016" w:usb3="00000000" w:csb0="00100009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7072A" w:rsidRDefault="00B7072A" w:rsidP="00B7072A">
      <w:r>
        <w:separator/>
      </w:r>
    </w:p>
  </w:footnote>
  <w:footnote w:type="continuationSeparator" w:id="0">
    <w:p w:rsidR="00B7072A" w:rsidRDefault="00B7072A" w:rsidP="00B7072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C18B3"/>
    <w:multiLevelType w:val="multilevel"/>
    <w:tmpl w:val="890640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3A61D9E"/>
    <w:multiLevelType w:val="multilevel"/>
    <w:tmpl w:val="DC10D7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5496A63"/>
    <w:multiLevelType w:val="multilevel"/>
    <w:tmpl w:val="64B02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74E6C41"/>
    <w:multiLevelType w:val="multilevel"/>
    <w:tmpl w:val="87A8E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7D52210"/>
    <w:multiLevelType w:val="multilevel"/>
    <w:tmpl w:val="E6BA0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8002438"/>
    <w:multiLevelType w:val="multilevel"/>
    <w:tmpl w:val="84E60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966536"/>
    <w:multiLevelType w:val="multilevel"/>
    <w:tmpl w:val="40209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B6555AF"/>
    <w:multiLevelType w:val="multilevel"/>
    <w:tmpl w:val="BEA2E3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CFC519B"/>
    <w:multiLevelType w:val="multilevel"/>
    <w:tmpl w:val="BB567D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D2A36D1"/>
    <w:multiLevelType w:val="multilevel"/>
    <w:tmpl w:val="48CE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0F294FEF"/>
    <w:multiLevelType w:val="multilevel"/>
    <w:tmpl w:val="927639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C7F77B5"/>
    <w:multiLevelType w:val="multilevel"/>
    <w:tmpl w:val="73BEB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E206045"/>
    <w:multiLevelType w:val="multilevel"/>
    <w:tmpl w:val="ED380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257F29F6"/>
    <w:multiLevelType w:val="multilevel"/>
    <w:tmpl w:val="092C1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2746659E"/>
    <w:multiLevelType w:val="multilevel"/>
    <w:tmpl w:val="778CCE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A6D5C22"/>
    <w:multiLevelType w:val="multilevel"/>
    <w:tmpl w:val="C026F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2A40A6D"/>
    <w:multiLevelType w:val="multilevel"/>
    <w:tmpl w:val="4074F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35B92F0B"/>
    <w:multiLevelType w:val="multilevel"/>
    <w:tmpl w:val="C7C43E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8902487"/>
    <w:multiLevelType w:val="multilevel"/>
    <w:tmpl w:val="0D3C16FA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19" w15:restartNumberingAfterBreak="0">
    <w:nsid w:val="43316EAD"/>
    <w:multiLevelType w:val="multilevel"/>
    <w:tmpl w:val="4D16D740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20" w15:restartNumberingAfterBreak="0">
    <w:nsid w:val="4707257D"/>
    <w:multiLevelType w:val="multilevel"/>
    <w:tmpl w:val="E8C8C1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4D4D3C24"/>
    <w:multiLevelType w:val="multilevel"/>
    <w:tmpl w:val="04E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582F4731"/>
    <w:multiLevelType w:val="multilevel"/>
    <w:tmpl w:val="C3F292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74B0897"/>
    <w:multiLevelType w:val="multilevel"/>
    <w:tmpl w:val="629A10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69727AD4"/>
    <w:multiLevelType w:val="multilevel"/>
    <w:tmpl w:val="B68CB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6EC974F5"/>
    <w:multiLevelType w:val="multilevel"/>
    <w:tmpl w:val="7B42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73572B72"/>
    <w:multiLevelType w:val="multilevel"/>
    <w:tmpl w:val="7B06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74DF5A9E"/>
    <w:multiLevelType w:val="multilevel"/>
    <w:tmpl w:val="2CFAD7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766A1F77"/>
    <w:multiLevelType w:val="multilevel"/>
    <w:tmpl w:val="973ED3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768B7ECF"/>
    <w:multiLevelType w:val="multilevel"/>
    <w:tmpl w:val="296A36D8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abstractNum w:abstractNumId="30" w15:restartNumberingAfterBreak="0">
    <w:nsid w:val="77F12F4D"/>
    <w:multiLevelType w:val="multilevel"/>
    <w:tmpl w:val="C56EB0DC"/>
    <w:lvl w:ilvl="0">
      <w:start w:val="1"/>
      <w:numFmt w:val="bullet"/>
      <w:lvlText w:val="o"/>
      <w:lvlJc w:val="left"/>
      <w:pPr>
        <w:tabs>
          <w:tab w:val="num" w:pos="720"/>
        </w:tabs>
        <w:ind w:left="720" w:hanging="360"/>
      </w:pPr>
      <w:rPr>
        <w:rFonts w:ascii="Courier New" w:hAnsi="Courier New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3" w:tentative="1">
      <w:start w:val="1"/>
      <w:numFmt w:val="bullet"/>
      <w:lvlText w:val="o"/>
      <w:lvlJc w:val="left"/>
      <w:pPr>
        <w:tabs>
          <w:tab w:val="num" w:pos="2880"/>
        </w:tabs>
        <w:ind w:left="2880" w:hanging="360"/>
      </w:pPr>
      <w:rPr>
        <w:rFonts w:ascii="Courier New" w:hAnsi="Courier New" w:hint="default"/>
        <w:sz w:val="20"/>
      </w:rPr>
    </w:lvl>
    <w:lvl w:ilvl="4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  <w:sz w:val="20"/>
      </w:rPr>
    </w:lvl>
    <w:lvl w:ilvl="5" w:tentative="1">
      <w:start w:val="1"/>
      <w:numFmt w:val="bullet"/>
      <w:lvlText w:val="o"/>
      <w:lvlJc w:val="left"/>
      <w:pPr>
        <w:tabs>
          <w:tab w:val="num" w:pos="4320"/>
        </w:tabs>
        <w:ind w:left="4320" w:hanging="360"/>
      </w:pPr>
      <w:rPr>
        <w:rFonts w:ascii="Courier New" w:hAnsi="Courier New" w:hint="default"/>
        <w:sz w:val="20"/>
      </w:rPr>
    </w:lvl>
    <w:lvl w:ilvl="6" w:tentative="1">
      <w:start w:val="1"/>
      <w:numFmt w:val="bullet"/>
      <w:lvlText w:val="o"/>
      <w:lvlJc w:val="left"/>
      <w:pPr>
        <w:tabs>
          <w:tab w:val="num" w:pos="5040"/>
        </w:tabs>
        <w:ind w:left="5040" w:hanging="360"/>
      </w:pPr>
      <w:rPr>
        <w:rFonts w:ascii="Courier New" w:hAnsi="Courier New" w:hint="default"/>
        <w:sz w:val="20"/>
      </w:rPr>
    </w:lvl>
    <w:lvl w:ilvl="7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  <w:sz w:val="20"/>
      </w:rPr>
    </w:lvl>
    <w:lvl w:ilvl="8" w:tentative="1">
      <w:start w:val="1"/>
      <w:numFmt w:val="bullet"/>
      <w:lvlText w:val="o"/>
      <w:lvlJc w:val="left"/>
      <w:pPr>
        <w:tabs>
          <w:tab w:val="num" w:pos="6480"/>
        </w:tabs>
        <w:ind w:left="6480" w:hanging="360"/>
      </w:pPr>
      <w:rPr>
        <w:rFonts w:ascii="Courier New" w:hAnsi="Courier New" w:hint="default"/>
        <w:sz w:val="20"/>
      </w:rPr>
    </w:lvl>
  </w:abstractNum>
  <w:num w:numId="1" w16cid:durableId="586498025">
    <w:abstractNumId w:val="26"/>
  </w:num>
  <w:num w:numId="2" w16cid:durableId="679627275">
    <w:abstractNumId w:val="9"/>
  </w:num>
  <w:num w:numId="3" w16cid:durableId="388384823">
    <w:abstractNumId w:val="21"/>
  </w:num>
  <w:num w:numId="4" w16cid:durableId="1167748813">
    <w:abstractNumId w:val="3"/>
  </w:num>
  <w:num w:numId="5" w16cid:durableId="350954282">
    <w:abstractNumId w:val="4"/>
  </w:num>
  <w:num w:numId="6" w16cid:durableId="2132820469">
    <w:abstractNumId w:val="0"/>
  </w:num>
  <w:num w:numId="7" w16cid:durableId="311754873">
    <w:abstractNumId w:val="15"/>
  </w:num>
  <w:num w:numId="8" w16cid:durableId="625820494">
    <w:abstractNumId w:val="29"/>
  </w:num>
  <w:num w:numId="9" w16cid:durableId="1742946744">
    <w:abstractNumId w:val="16"/>
  </w:num>
  <w:num w:numId="10" w16cid:durableId="1808090310">
    <w:abstractNumId w:val="1"/>
  </w:num>
  <w:num w:numId="11" w16cid:durableId="1739980979">
    <w:abstractNumId w:val="12"/>
  </w:num>
  <w:num w:numId="12" w16cid:durableId="1112633901">
    <w:abstractNumId w:val="7"/>
  </w:num>
  <w:num w:numId="13" w16cid:durableId="1235890272">
    <w:abstractNumId w:val="6"/>
  </w:num>
  <w:num w:numId="14" w16cid:durableId="1115909092">
    <w:abstractNumId w:val="5"/>
  </w:num>
  <w:num w:numId="15" w16cid:durableId="1940211444">
    <w:abstractNumId w:val="24"/>
  </w:num>
  <w:num w:numId="16" w16cid:durableId="255484218">
    <w:abstractNumId w:val="20"/>
  </w:num>
  <w:num w:numId="17" w16cid:durableId="482937426">
    <w:abstractNumId w:val="19"/>
  </w:num>
  <w:num w:numId="18" w16cid:durableId="100341176">
    <w:abstractNumId w:val="8"/>
  </w:num>
  <w:num w:numId="19" w16cid:durableId="868026463">
    <w:abstractNumId w:val="11"/>
  </w:num>
  <w:num w:numId="20" w16cid:durableId="1864439542">
    <w:abstractNumId w:val="22"/>
  </w:num>
  <w:num w:numId="21" w16cid:durableId="1272201863">
    <w:abstractNumId w:val="10"/>
  </w:num>
  <w:num w:numId="22" w16cid:durableId="468013389">
    <w:abstractNumId w:val="25"/>
  </w:num>
  <w:num w:numId="23" w16cid:durableId="1802771447">
    <w:abstractNumId w:val="18"/>
  </w:num>
  <w:num w:numId="24" w16cid:durableId="728113831">
    <w:abstractNumId w:val="30"/>
  </w:num>
  <w:num w:numId="25" w16cid:durableId="929118585">
    <w:abstractNumId w:val="14"/>
  </w:num>
  <w:num w:numId="26" w16cid:durableId="227305396">
    <w:abstractNumId w:val="13"/>
  </w:num>
  <w:num w:numId="27" w16cid:durableId="1250844067">
    <w:abstractNumId w:val="28"/>
  </w:num>
  <w:num w:numId="28" w16cid:durableId="2079091132">
    <w:abstractNumId w:val="27"/>
  </w:num>
  <w:num w:numId="29" w16cid:durableId="930744686">
    <w:abstractNumId w:val="17"/>
    <w:lvlOverride w:ilvl="0">
      <w:startOverride w:val="1"/>
    </w:lvlOverride>
  </w:num>
  <w:num w:numId="30" w16cid:durableId="1506021451">
    <w:abstractNumId w:val="23"/>
    <w:lvlOverride w:ilvl="0">
      <w:startOverride w:val="2"/>
    </w:lvlOverride>
  </w:num>
  <w:num w:numId="31" w16cid:durableId="1164666936">
    <w:abstractNumId w:val="2"/>
    <w:lvlOverride w:ilvl="0">
      <w:startOverride w:val="3"/>
    </w:lvlOverride>
  </w:num>
  <w:numIdMacAtCleanup w:val="3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80"/>
  <w:noPunctuationKerning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072A"/>
    <w:rsid w:val="00A804DD"/>
    <w:rsid w:val="00B70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5:chartTrackingRefBased/>
  <w15:docId w15:val="{514C7107-730E-4B70-BC0D-503B4BF541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新細明體" w:eastAsia="新細明體" w:hAnsi="新細明體" w:cs="新細明體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Web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character" w:styleId="a3">
    <w:name w:val="Hyperlink"/>
    <w:basedOn w:val="a0"/>
    <w:uiPriority w:val="99"/>
    <w:semiHidden/>
    <w:unhideWhenUsed/>
    <w:rPr>
      <w:color w:val="0000FF"/>
      <w:u w:val="single"/>
    </w:rPr>
  </w:style>
  <w:style w:type="character" w:styleId="a4">
    <w:name w:val="FollowedHyperlink"/>
    <w:basedOn w:val="a0"/>
    <w:uiPriority w:val="99"/>
    <w:semiHidden/>
    <w:unhideWhenUsed/>
    <w:rPr>
      <w:color w:val="800080"/>
      <w:u w:val="single"/>
    </w:rPr>
  </w:style>
  <w:style w:type="paragraph" w:styleId="a5">
    <w:name w:val="header"/>
    <w:basedOn w:val="a"/>
    <w:link w:val="a6"/>
    <w:uiPriority w:val="99"/>
    <w:unhideWhenUsed/>
    <w:rsid w:val="00B707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6">
    <w:name w:val="頁首 字元"/>
    <w:basedOn w:val="a0"/>
    <w:link w:val="a5"/>
    <w:uiPriority w:val="99"/>
    <w:rsid w:val="00B7072A"/>
    <w:rPr>
      <w:rFonts w:ascii="新細明體" w:eastAsia="新細明體" w:hAnsi="新細明體" w:cs="新細明體"/>
    </w:rPr>
  </w:style>
  <w:style w:type="paragraph" w:styleId="a7">
    <w:name w:val="footer"/>
    <w:basedOn w:val="a"/>
    <w:link w:val="a8"/>
    <w:uiPriority w:val="99"/>
    <w:unhideWhenUsed/>
    <w:rsid w:val="00B7072A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8">
    <w:name w:val="頁尾 字元"/>
    <w:basedOn w:val="a0"/>
    <w:link w:val="a7"/>
    <w:uiPriority w:val="99"/>
    <w:rsid w:val="00B7072A"/>
    <w:rPr>
      <w:rFonts w:ascii="新細明體" w:eastAsia="新細明體" w:hAnsi="新細明體" w:cs="新細明體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2815679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76738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23913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47399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37147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201010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64635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14424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44620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02477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19024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0439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32340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tsoc.org.tw/upload/files/acs-39-004-1(1).pdf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commons.wikimedia.org/wiki/File:Coronary_vessels,_with_annotated_arteries.svg" TargetMode="External"/><Relationship Id="rId5" Type="http://schemas.openxmlformats.org/officeDocument/2006/relationships/footnotes" Target="footnotes.xml"/><Relationship Id="rId10" Type="http://schemas.openxmlformats.org/officeDocument/2006/relationships/hyperlink" Target="https://www.ahajournals.org/doi/10.1161/CIR.0000000000001309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soc.org.tw/upload/files/2018%20Guidelines%20of%20TSOC_EM%20and%20TSCI%20for%20the%20management%20of%20non%20ST-segment%20elevation%20acute%20coronary%20syndrome(1).pdf" TargetMode="Externa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1494</Words>
  <Characters>8518</Characters>
  <Application>Microsoft Office Word</Application>
  <DocSecurity>0</DocSecurity>
  <Lines>70</Lines>
  <Paragraphs>19</Paragraphs>
  <ScaleCrop>false</ScaleCrop>
  <Company/>
  <LinksUpToDate>false</LinksUpToDate>
  <CharactersWithSpaces>9993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霓臻 林</dc:creator>
  <cp:keywords/>
  <dc:description/>
  <cp:lastModifiedBy>霓臻 林</cp:lastModifiedBy>
  <cp:revision>2</cp:revision>
  <dcterms:created xsi:type="dcterms:W3CDTF">2025-07-27T10:03:00Z</dcterms:created>
  <dcterms:modified xsi:type="dcterms:W3CDTF">2025-07-27T10:03:00Z</dcterms:modified>
</cp:coreProperties>
</file>