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BDB" w:rsidRDefault="00202BD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藥物疹</w:t>
      </w:r>
    </w:p>
    <w:p w:rsidR="00202BDB" w:rsidRDefault="00202BD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02BDB" w:rsidRDefault="00202BD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p w:rsidR="00202BDB" w:rsidRDefault="00202BD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02BDB" w:rsidRDefault="00202BD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31"/>
        <w:gridCol w:w="1727"/>
        <w:gridCol w:w="1671"/>
        <w:gridCol w:w="777"/>
      </w:tblGrid>
      <w:tr w:rsidR="00000000">
        <w:trPr>
          <w:divId w:val="1203635265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臨床表現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由藥物引發的可能性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發作起始時間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致死率</w:t>
            </w:r>
          </w:p>
        </w:tc>
      </w:tr>
      <w:tr w:rsidR="00000000">
        <w:trPr>
          <w:divId w:val="1203635265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固定性藥物疹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(Fixed drug eruption)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100%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初次：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–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週</w:t>
            </w:r>
          </w:p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再次暴露：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&lt;48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小時</w:t>
            </w:r>
          </w:p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(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大多在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24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小時以內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)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0%</w:t>
            </w:r>
          </w:p>
        </w:tc>
      </w:tr>
      <w:tr w:rsidR="00000000">
        <w:trPr>
          <w:divId w:val="1203635265"/>
        </w:trPr>
        <w:tc>
          <w:tcPr>
            <w:tcW w:w="4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Drug reaction with eosinophilia and</w:t>
            </w:r>
          </w:p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systemic symptoms (DRESS)/drug-induced</w:t>
            </w:r>
          </w:p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hypersensitivity syndrome (DIHS)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70-90%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15-40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天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5-10%</w:t>
            </w:r>
          </w:p>
        </w:tc>
      </w:tr>
      <w:tr w:rsidR="00000000">
        <w:trPr>
          <w:divId w:val="1203635265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Stevens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–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Johnson syndrome</w:t>
            </w:r>
          </w:p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Toxic epidermal necrolysis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70-90%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7-21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天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5%</w:t>
            </w:r>
          </w:p>
          <w:p w:rsidR="00202BDB" w:rsidRDefault="00202BDB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30%</w:t>
            </w:r>
          </w:p>
        </w:tc>
      </w:tr>
    </w:tbl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9"/>
        <w:gridCol w:w="2199"/>
        <w:gridCol w:w="2956"/>
        <w:gridCol w:w="1932"/>
      </w:tblGrid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特徵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DRESS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SJS/TEN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AGEP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發病時間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延遲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(2-8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週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早期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(7-21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非常迅速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(&lt;4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皮膚特徵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麻疹樣變水腫、臉部水腫、可能多形性紅疹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暗紅斑塊伴表皮剝離，邊緣不清的靶心樣病灶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許多無菌性膿疱，紅斑水腫基底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黏膜受累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通常輕微或無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嚴重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 &gt;90%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病例</w:t>
            </w:r>
          </w:p>
        </w:tc>
      </w:tr>
      <w:tr w:rsidR="00000000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全身性受累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顯著，多器官受累常見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肝、腎、肺等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)2...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通常有發燒等，但主要問題是表皮剝離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21...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少見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(~17%)</w:t>
            </w:r>
          </w:p>
        </w:tc>
      </w:tr>
      <w:tr w:rsidR="00000000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lastRenderedPageBreak/>
              <w:t>實驗室異常</w:t>
            </w:r>
          </w:p>
        </w:tc>
        <w:tc>
          <w:tcPr>
            <w:tcW w:w="4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嗜酸性球增多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，非典型淋巴細胞增多，肝臟酵素升高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血球低下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淋巴球、嗜中性球、血小板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) 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嗜中性球增多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、輕度嗜酸球增多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組織病理</w:t>
            </w:r>
          </w:p>
        </w:tc>
        <w:tc>
          <w:tcPr>
            <w:tcW w:w="4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變異大，常有嗜酸性球浸潤，無廣泛表皮壞死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廣泛角質細胞壞死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，表皮剝離，真皮發炎細胞稀少</w:t>
            </w:r>
          </w:p>
        </w:tc>
        <w:tc>
          <w:tcPr>
            <w:tcW w:w="3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角質層下膿疱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，真皮血管周圍嗜中性球浸潤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常見病因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抗癲癇藥、抗生素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病毒關聯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常伴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HHV-6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等再活化</w:t>
            </w:r>
          </w:p>
        </w:tc>
        <w:tc>
          <w:tcPr>
            <w:tcW w:w="5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可能與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1"/>
                <w:szCs w:val="21"/>
              </w:rPr>
              <w:t>Mycoplasma pneumoniae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或病毒有關，但不如藥物重要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少見，可能有病毒感染誘發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預後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潛在致命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(2-10%)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高致死率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(SJS 5%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TEN 15-35%)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低致死率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(1-2%)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、自限性</w:t>
            </w:r>
          </w:p>
        </w:tc>
      </w:tr>
    </w:tbl>
    <w:p w:rsidR="00202BDB" w:rsidRDefault="00202BD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p w:rsidR="00202BDB" w:rsidRDefault="00202BDB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名詞定義：</w:t>
      </w:r>
    </w:p>
    <w:p w:rsidR="00202BDB" w:rsidRDefault="00202BDB">
      <w:pPr>
        <w:numPr>
          <w:ilvl w:val="1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嚴重皮膚不良反應</w:t>
      </w:r>
      <w:r>
        <w:rPr>
          <w:rFonts w:ascii="微軟正黑體" w:eastAsia="微軟正黑體" w:hAnsi="微軟正黑體" w:cs="Calibri" w:hint="eastAsia"/>
          <w:color w:val="183C66"/>
        </w:rPr>
        <w:t xml:space="preserve">(Severe cutaneous </w:t>
      </w:r>
      <w:r>
        <w:rPr>
          <w:rFonts w:ascii="微軟正黑體" w:eastAsia="微軟正黑體" w:hAnsi="微軟正黑體" w:cs="Calibri" w:hint="eastAsia"/>
          <w:color w:val="183C66"/>
        </w:rPr>
        <w:t>adverse reactions, SCARs)</w:t>
      </w:r>
    </w:p>
    <w:p w:rsidR="00202BDB" w:rsidRDefault="00202BDB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Anaphylaxis</w:t>
      </w:r>
    </w:p>
    <w:p w:rsidR="00202BDB" w:rsidRDefault="00202BDB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Anticoagulant-induced skin necrosis</w:t>
      </w:r>
    </w:p>
    <w:p w:rsidR="00202BDB" w:rsidRDefault="00202BDB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Acute generalized exanthematous pustulosis (AGEP)</w:t>
      </w:r>
    </w:p>
    <w:p w:rsidR="00202BDB" w:rsidRDefault="00202BDB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Drug rash with eosinophilia and systemic symptoms (DRESS)/drug-induced hypersensitivity syndrome (DIHS)</w:t>
      </w:r>
    </w:p>
    <w:p w:rsidR="00202BDB" w:rsidRDefault="00202BDB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Generalized bullous fixed drug eruption</w:t>
      </w:r>
    </w:p>
    <w:p w:rsidR="00202BDB" w:rsidRDefault="00202BDB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Stevens</w:t>
      </w:r>
      <w:r>
        <w:rPr>
          <w:rFonts w:ascii="微軟正黑體" w:eastAsia="微軟正黑體" w:hAnsi="微軟正黑體" w:cs="Calibri" w:hint="eastAsia"/>
          <w:color w:val="183C66"/>
        </w:rPr>
        <w:t>–</w:t>
      </w:r>
      <w:r>
        <w:rPr>
          <w:rFonts w:ascii="微軟正黑體" w:eastAsia="微軟正黑體" w:hAnsi="微軟正黑體" w:cs="Calibri" w:hint="eastAsia"/>
          <w:color w:val="183C66"/>
        </w:rPr>
        <w:t>Johnson syndrome (SJS)/ toxic epidermal necrolysis (TEN)</w:t>
      </w:r>
    </w:p>
    <w:p w:rsidR="00202BDB" w:rsidRDefault="00202BDB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p w:rsidR="00202BDB" w:rsidRDefault="00202BDB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固定性藥物疹</w:t>
      </w:r>
      <w:r>
        <w:rPr>
          <w:rFonts w:ascii="微軟正黑體" w:eastAsia="微軟正黑體" w:hAnsi="微軟正黑體" w:cs="Calibri" w:hint="eastAsia"/>
          <w:color w:val="183C66"/>
        </w:rPr>
        <w:t>(Fixed drug eruption)</w:t>
      </w:r>
    </w:p>
    <w:p w:rsidR="00202BDB" w:rsidRDefault="00202BDB">
      <w:pPr>
        <w:numPr>
          <w:ilvl w:val="1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</w:t>
      </w:r>
    </w:p>
    <w:p w:rsidR="00202BDB" w:rsidRDefault="00202BDB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初次接觸：初次接觸特定藥物引發固定性藥物疹時，病灶通常會在給藥後幾天到兩週內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(1-2 </w:t>
      </w:r>
      <w:r>
        <w:rPr>
          <w:rFonts w:ascii="微軟正黑體" w:eastAsia="微軟正黑體" w:hAnsi="微軟正黑體" w:cs="Calibri" w:hint="eastAsia"/>
          <w:sz w:val="21"/>
          <w:szCs w:val="21"/>
        </w:rPr>
        <w:t>週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出現</w:t>
      </w:r>
    </w:p>
    <w:p w:rsidR="00202BDB" w:rsidRDefault="00202BDB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再次接觸：再次接觸同種藥物時，病灶會在完全相同的部位快速復發</w:t>
      </w:r>
    </w:p>
    <w:p w:rsidR="00202BDB" w:rsidRDefault="00202BDB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復發的發生速度會非常快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(&lt;48 </w:t>
      </w:r>
      <w:r>
        <w:rPr>
          <w:rFonts w:ascii="微軟正黑體" w:eastAsia="微軟正黑體" w:hAnsi="微軟正黑體" w:cs="Calibri" w:hint="eastAsia"/>
          <w:sz w:val="21"/>
          <w:szCs w:val="21"/>
        </w:rPr>
        <w:t>小時，通常在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24 </w:t>
      </w:r>
      <w:r>
        <w:rPr>
          <w:rFonts w:ascii="微軟正黑體" w:eastAsia="微軟正黑體" w:hAnsi="微軟正黑體" w:cs="Calibri" w:hint="eastAsia"/>
          <w:sz w:val="21"/>
          <w:szCs w:val="21"/>
        </w:rPr>
        <w:t>小時內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</w:p>
    <w:p w:rsidR="00202BDB" w:rsidRDefault="00202BDB">
      <w:pPr>
        <w:numPr>
          <w:ilvl w:val="1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</w:p>
    <w:p w:rsidR="00202BDB" w:rsidRDefault="00202BDB">
      <w:pPr>
        <w:numPr>
          <w:ilvl w:val="2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過敏引起的皮膚血管炎反應</w:t>
      </w:r>
    </w:p>
    <w:p w:rsidR="00202BDB" w:rsidRDefault="00202BDB">
      <w:pPr>
        <w:numPr>
          <w:ilvl w:val="2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常見引起藥物診藥物：</w:t>
      </w:r>
    </w:p>
    <w:p w:rsidR="00202BDB" w:rsidRDefault="00202BDB">
      <w:pPr>
        <w:numPr>
          <w:ilvl w:val="3"/>
          <w:numId w:val="2"/>
        </w:numPr>
        <w:textAlignment w:val="center"/>
        <w:rPr>
          <w:rFonts w:ascii="Calibri" w:hAnsi="Calibri" w:cs="Calibri"/>
          <w:color w:val="5FA03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抗生素：</w:t>
      </w:r>
    </w:p>
    <w:p w:rsidR="00202BDB" w:rsidRDefault="00202BDB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Sulfa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 xml:space="preserve">Tetracyclines &gt; 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β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-lactams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fluoroquinolones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macrolides</w:t>
      </w:r>
    </w:p>
    <w:p w:rsidR="00202BDB" w:rsidRDefault="00202BDB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止痛退燒藥：</w:t>
      </w:r>
    </w:p>
    <w:p w:rsidR="00202BDB" w:rsidRDefault="00202BDB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NSAIDs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acetaminophen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aspirin</w:t>
      </w:r>
    </w:p>
    <w:p w:rsidR="00202BDB" w:rsidRDefault="00202BDB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其他藥物：</w:t>
      </w:r>
    </w:p>
    <w:p w:rsidR="00202BDB" w:rsidRDefault="00202BDB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Barbiturates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Dapsone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PPI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Azole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類抗黴菌藥物、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Pseudoephedrine</w:t>
      </w:r>
    </w:p>
    <w:p w:rsidR="00202BDB" w:rsidRDefault="00202BDB">
      <w:pPr>
        <w:numPr>
          <w:ilvl w:val="1"/>
          <w:numId w:val="2"/>
        </w:numPr>
        <w:textAlignment w:val="center"/>
        <w:rPr>
          <w:rFonts w:ascii="Calibri" w:hAnsi="Calibri" w:cs="Calibri"/>
          <w:color w:val="5FA03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</w:rPr>
        <w:t>病生理：</w:t>
      </w:r>
      <w:r>
        <w:rPr>
          <w:rFonts w:ascii="微軟正黑體" w:eastAsia="微軟正黑體" w:hAnsi="微軟正黑體" w:cs="Calibri" w:hint="eastAsia"/>
          <w:color w:val="5FA037"/>
        </w:rPr>
        <w:t>Type 4</w:t>
      </w:r>
      <w:r>
        <w:rPr>
          <w:rFonts w:ascii="微軟正黑體" w:eastAsia="微軟正黑體" w:hAnsi="微軟正黑體" w:cs="Calibri" w:hint="eastAsia"/>
          <w:color w:val="5FA037"/>
        </w:rPr>
        <w:t>過敏反應</w:t>
      </w:r>
    </w:p>
    <w:p w:rsidR="00202BDB" w:rsidRDefault="00202BDB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5943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BDB" w:rsidRDefault="00202BDB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202BDB" w:rsidRDefault="00202BDB">
      <w:pPr>
        <w:numPr>
          <w:ilvl w:val="1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發病時間：</w:t>
      </w:r>
    </w:p>
    <w:p w:rsidR="00202BDB" w:rsidRDefault="00202BDB">
      <w:pPr>
        <w:numPr>
          <w:ilvl w:val="2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初次接觸：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週後出現</w:t>
      </w:r>
    </w:p>
    <w:p w:rsidR="00202BDB" w:rsidRDefault="00202BDB">
      <w:pPr>
        <w:numPr>
          <w:ilvl w:val="2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再次接觸：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&lt;48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小時，通常在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小時內</w:t>
      </w:r>
    </w:p>
    <w:p w:rsidR="00202BDB" w:rsidRDefault="00202BDB">
      <w:pPr>
        <w:numPr>
          <w:ilvl w:val="1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常見部位：生殖器、肛門周圍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、手腳、臉部、嘴唇</w:t>
      </w:r>
    </w:p>
    <w:p w:rsidR="00202BDB" w:rsidRDefault="00202BDB">
      <w:pPr>
        <w:numPr>
          <w:ilvl w:val="1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發作型態：</w:t>
      </w:r>
    </w:p>
    <w:p w:rsidR="00202BDB" w:rsidRDefault="00202BDB">
      <w:pPr>
        <w:numPr>
          <w:ilvl w:val="2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邊界清晰、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卵圓形紅斑塊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通常為單一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伴隨著搔癢及發熱症狀→水腫狀斑塊→脫屑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(desquamation)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並產生色素沈著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棕色、黑色斑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202BDB" w:rsidRDefault="00202BDB">
      <w:pPr>
        <w:numPr>
          <w:ilvl w:val="3"/>
          <w:numId w:val="4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標靶病變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(target lesion)</w:t>
      </w:r>
    </w:p>
    <w:p w:rsidR="00202BDB" w:rsidRDefault="00202BDB">
      <w:pPr>
        <w:numPr>
          <w:ilvl w:val="2"/>
          <w:numId w:val="4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每次服用相同藥物後，都會在相同部位出現藥物疹的現象</w:t>
      </w:r>
    </w:p>
    <w:p w:rsidR="00202BDB" w:rsidRDefault="00202BDB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202BDB" w:rsidRDefault="00202BDB">
      <w:pPr>
        <w:numPr>
          <w:ilvl w:val="1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主要基於病史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包括用藥史和病灶復發的特徵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、臨床表現</w:t>
      </w:r>
    </w:p>
    <w:p w:rsidR="00202BDB" w:rsidRDefault="00202BDB">
      <w:pPr>
        <w:numPr>
          <w:ilvl w:val="1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皮膚激發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(provocation test)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試驗</w:t>
      </w:r>
    </w:p>
    <w:p w:rsidR="00202BDB" w:rsidRDefault="00202BDB">
      <w:pPr>
        <w:numPr>
          <w:ilvl w:val="2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建議在過敏發作結束後一段時間內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(4-6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週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進行，以免受耐受期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refractory period)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影響</w:t>
      </w:r>
    </w:p>
    <w:p w:rsidR="00202BDB" w:rsidRDefault="00202BDB">
      <w:pPr>
        <w:numPr>
          <w:ilvl w:val="2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協助釐清致病藥物</w:t>
      </w:r>
    </w:p>
    <w:p w:rsidR="00202BDB" w:rsidRDefault="00202BDB">
      <w:pPr>
        <w:numPr>
          <w:ilvl w:val="2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試驗種類：</w:t>
      </w:r>
    </w:p>
    <w:p w:rsidR="00202BDB" w:rsidRDefault="00202BDB">
      <w:pPr>
        <w:numPr>
          <w:ilvl w:val="3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oral challenge test</w:t>
      </w:r>
    </w:p>
    <w:p w:rsidR="00202BDB" w:rsidRDefault="00202BDB">
      <w:pPr>
        <w:numPr>
          <w:ilvl w:val="4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病人暴露於懷疑藥物中，增加劑量直到給予完整劑量或發生過敏反應為止</w:t>
      </w:r>
    </w:p>
    <w:p w:rsidR="00202BDB" w:rsidRDefault="00202BDB">
      <w:pPr>
        <w:numPr>
          <w:ilvl w:val="4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測試過程中能耐受藥物並完成完整劑量，則表示病人對該藥物沒有藥物過敏反應</w:t>
      </w:r>
    </w:p>
    <w:p w:rsidR="00202BDB" w:rsidRDefault="00202BDB">
      <w:pPr>
        <w:numPr>
          <w:ilvl w:val="3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skin patch test(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陽性率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&gt;40%)</w:t>
      </w:r>
    </w:p>
    <w:p w:rsidR="00202BDB" w:rsidRDefault="00202BDB">
      <w:pPr>
        <w:numPr>
          <w:ilvl w:val="4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貼於上背部並保留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48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小時</w:t>
      </w:r>
    </w:p>
    <w:p w:rsidR="00202BDB" w:rsidRDefault="00202BDB">
      <w:pPr>
        <w:numPr>
          <w:ilvl w:val="4"/>
          <w:numId w:val="5"/>
        </w:numPr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在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 xml:space="preserve"> 3-7 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天時進行判讀</w:t>
      </w:r>
    </w:p>
    <w:p w:rsidR="00202BDB" w:rsidRDefault="00202BDB">
      <w:pPr>
        <w:numPr>
          <w:ilvl w:val="4"/>
          <w:numId w:val="5"/>
        </w:numPr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建議在曾有病灶的部位進行原位貼膚試驗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 xml:space="preserve"> (in situ patch test)</w:t>
      </w:r>
    </w:p>
    <w:p w:rsidR="00202BDB" w:rsidRDefault="00202BDB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202BDB" w:rsidRDefault="00202BDB">
      <w:pPr>
        <w:numPr>
          <w:ilvl w:val="1"/>
          <w:numId w:val="6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202BDB" w:rsidRDefault="00202BDB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202BDB" w:rsidRDefault="00202BDB">
      <w:pPr>
        <w:numPr>
          <w:ilvl w:val="1"/>
          <w:numId w:val="7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通常是自限性疾病，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通常在停藥後幾天內消退</w:t>
      </w:r>
      <w:r>
        <w:rPr>
          <w:rFonts w:ascii="Calibri" w:hAnsi="Calibri" w:cs="Calibri"/>
          <w:color w:val="1A1C1C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可能需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1-2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週才能完全消退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)</w:t>
      </w:r>
    </w:p>
    <w:p w:rsidR="00202BDB" w:rsidRDefault="00202BDB">
      <w:pPr>
        <w:numPr>
          <w:ilvl w:val="1"/>
          <w:numId w:val="7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再次用藥時可能復發</w:t>
      </w:r>
    </w:p>
    <w:p w:rsidR="00202BDB" w:rsidRDefault="00202BDB">
      <w:pPr>
        <w:numPr>
          <w:ilvl w:val="0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Stevens-Johnson syndrome(SJS)</w:t>
      </w:r>
      <w:r>
        <w:rPr>
          <w:rFonts w:ascii="微軟正黑體" w:eastAsia="微軟正黑體" w:hAnsi="微軟正黑體" w:cs="Calibri" w:hint="eastAsia"/>
          <w:color w:val="183C66"/>
        </w:rPr>
        <w:t>、毒性表皮壞死溶解症</w:t>
      </w:r>
      <w:r>
        <w:rPr>
          <w:rFonts w:ascii="微軟正黑體" w:eastAsia="微軟正黑體" w:hAnsi="微軟正黑體" w:cs="Calibri" w:hint="eastAsia"/>
          <w:color w:val="183C66"/>
        </w:rPr>
        <w:t>(Toxic epidermal necrolysis, TEN)</w:t>
      </w:r>
    </w:p>
    <w:p w:rsidR="00202BDB" w:rsidRDefault="00202BDB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定義：依水泡、破皮面積佔全身體表面積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(body surface area, BSA)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比例</w:t>
      </w:r>
    </w:p>
    <w:p w:rsidR="00202BDB" w:rsidRDefault="00202BDB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&lt;10% BSA</w:t>
      </w:r>
    </w:p>
    <w:p w:rsidR="00202BDB" w:rsidRDefault="00202BDB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SJS-TEN overlap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10-30% BSA</w:t>
      </w:r>
    </w:p>
    <w:p w:rsidR="00202BDB" w:rsidRDefault="00202BDB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&gt;30% BSA</w:t>
      </w:r>
    </w:p>
    <w:p w:rsidR="00202BDB" w:rsidRDefault="00202BDB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流行病學：</w:t>
      </w:r>
    </w:p>
    <w:p w:rsidR="00202BDB" w:rsidRDefault="00202BDB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女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 xml:space="preserve"> &gt; 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男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(1.5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1)</w:t>
      </w:r>
    </w:p>
    <w:p w:rsidR="00202BDB" w:rsidRDefault="00202BDB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發病年齡：任何年齡都可能發生</w:t>
      </w:r>
    </w:p>
    <w:p w:rsidR="00202BDB" w:rsidRDefault="00202BDB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病因：幾乎是藥物造成、感染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疫苗相對罕見</w:t>
      </w:r>
    </w:p>
    <w:p w:rsidR="00202BDB" w:rsidRDefault="00202BDB">
      <w:pPr>
        <w:numPr>
          <w:ilvl w:val="2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常見藥物：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抗癲癇藥物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(carbamazepine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Lamotrigine)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allopurinol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sulfa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類抗生素、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NSAID</w:t>
      </w:r>
    </w:p>
    <w:p w:rsidR="00202BDB" w:rsidRDefault="00202BDB">
      <w:pPr>
        <w:numPr>
          <w:ilvl w:val="2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亞洲種族：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基因型與特定藥物所引起的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SJS/TEN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相關</w:t>
      </w:r>
    </w:p>
    <w:p w:rsidR="00202BDB" w:rsidRDefault="00202BDB">
      <w:pPr>
        <w:numPr>
          <w:ilvl w:val="3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HLA-B*1502(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carbamazepine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Lamotrigine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202BDB" w:rsidRDefault="00202BDB">
      <w:pPr>
        <w:numPr>
          <w:ilvl w:val="3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HLA-B*5801(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allopurinol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202BDB" w:rsidRDefault="00202BDB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724400" cy="18573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BDB" w:rsidRDefault="00202BDB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21"/>
          <w:szCs w:val="21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參考資料</w:t>
      </w:r>
      <w:r>
        <w:rPr>
          <w:rFonts w:ascii="微軟正黑體" w:eastAsia="微軟正黑體" w:hAnsi="微軟正黑體" w:cs="Calibri" w:hint="eastAsia"/>
          <w:sz w:val="21"/>
          <w:szCs w:val="21"/>
        </w:rPr>
        <w:t>)Dermatology 4th ed. p.349</w:t>
      </w:r>
    </w:p>
    <w:p w:rsidR="00202BDB" w:rsidRDefault="00202BDB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病生理：</w:t>
      </w:r>
    </w:p>
    <w:p w:rsidR="00202BDB" w:rsidRDefault="00202BDB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目前認為和藥物激發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Type 4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過敏反應有關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透過與人類白血球抗原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(HLA)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的交互作用活化特異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CD8+T cell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 cell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增生、浸潤到皮膚組織中攻擊表皮細胞→表皮細胞大量的凋亡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(apoptosis)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皮膚切片中會看到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整層表皮的壞死與溶解</w:t>
      </w:r>
    </w:p>
    <w:p w:rsidR="00202BDB" w:rsidRDefault="00202BDB">
      <w:pPr>
        <w:numPr>
          <w:ilvl w:val="0"/>
          <w:numId w:val="10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202BDB" w:rsidRDefault="00202BDB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前驅症狀：被觸發後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1-3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發燒、喉嚨痛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肌痛、關節痛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頭痛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結膜發紅、嘴巴破皮、生殖泌尿道等黏膜破皮</w:t>
      </w:r>
    </w:p>
    <w:p w:rsidR="00202BDB" w:rsidRDefault="00202BDB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皮膚黏膜病變：前驅症狀出現後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1-3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天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皮膚病變：影響所有患者</w:t>
      </w:r>
    </w:p>
    <w:p w:rsidR="00202BDB" w:rsidRDefault="00202BDB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臉部和軀幹最初出現疼痛性紅斑，中心呈紫斑狀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非典型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target lesion)</w:t>
      </w:r>
    </w:p>
    <w:p w:rsidR="00202BDB" w:rsidRDefault="00202BDB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快速擴散並融合成大水泡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(bullae)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，擴展至廣泛表皮壞死、真皮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表皮分離與表皮脫落</w:t>
      </w:r>
    </w:p>
    <w:p w:rsidR="00202BDB" w:rsidRDefault="00202BDB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表皮脫落後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1-2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週再上皮化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(Reepithelialization)</w:t>
      </w:r>
    </w:p>
    <w:p w:rsidR="00202BDB" w:rsidRDefault="00202BDB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Nikolsky sign(+)</w:t>
      </w:r>
    </w:p>
    <w:p w:rsidR="00202BDB" w:rsidRDefault="00202BD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黏膜病變：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≧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 90%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患者</w:t>
      </w:r>
    </w:p>
    <w:p w:rsidR="00202BDB" w:rsidRDefault="00202BDB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口腔：口腔炎、唇炎、潰瘍</w:t>
      </w:r>
    </w:p>
    <w:p w:rsidR="00202BDB" w:rsidRDefault="00202BDB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眼部：結膜炎、角膜炎、虹膜炎、前葡萄膜炎</w:t>
      </w:r>
    </w:p>
    <w:p w:rsidR="00202BDB" w:rsidRDefault="00202BDB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生殖泌尿道：生殖器糜爛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如龜頭糜爛、外陰糜爛、陰道糜爛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、尿道糜爛</w:t>
      </w:r>
    </w:p>
    <w:p w:rsidR="00202BDB" w:rsidRDefault="00202BDB">
      <w:pPr>
        <w:numPr>
          <w:ilvl w:val="0"/>
          <w:numId w:val="10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202BDB" w:rsidRDefault="00202BDB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臨床診斷：根據病史、黏膜皮膚病變診斷</w:t>
      </w:r>
    </w:p>
    <w:p w:rsidR="00202BDB" w:rsidRDefault="00202BDB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確認診斷：皮膚切片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裂解位置：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Stratum germinativum)</w:t>
      </w:r>
    </w:p>
    <w:p w:rsidR="00202BDB" w:rsidRDefault="00202BDB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219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BDB" w:rsidRDefault="00202BDB">
      <w:pPr>
        <w:numPr>
          <w:ilvl w:val="0"/>
          <w:numId w:val="11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併發症：</w:t>
      </w:r>
    </w:p>
    <w:p w:rsidR="00202BDB" w:rsidRDefault="00202BDB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大面積皮膚脫落，剩下真皮層裸露在外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急性：脫水、體溫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電解質失調、低血容性休克、繼發性感染、敗血症和感染性休克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眼科：眼部疤痕和視力喪失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、乾性角結膜炎、睫毛倒刺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(Trichiasis)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皮膚科：色素沉澱、色素沉澱過少、掉髮、指甲脫落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泌尿生殖系統：尿道狹窄、陰道沾黏、性交困難、包莖、性功能障礙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胃腸道：狹窄、緊縮、吞嚥困難</w:t>
      </w:r>
    </w:p>
    <w:p w:rsidR="00202BDB" w:rsidRDefault="00202BDB">
      <w:pPr>
        <w:numPr>
          <w:ilvl w:val="0"/>
          <w:numId w:val="11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202BDB" w:rsidRDefault="00202BDB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202BDB" w:rsidRDefault="00202BDB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支持性療法：與大面積燒傷類似，維持生理穩定、預防併發症發生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傷囗、黏膜照護</w:t>
      </w:r>
    </w:p>
    <w:p w:rsidR="00202BDB" w:rsidRDefault="00202BDB">
      <w:pPr>
        <w:numPr>
          <w:ilvl w:val="3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非脫皮區域保持乾燥</w:t>
      </w:r>
    </w:p>
    <w:p w:rsidR="00202BDB" w:rsidRDefault="00202BDB">
      <w:pPr>
        <w:numPr>
          <w:ilvl w:val="3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臉部：結痂以生理食鹽水每日清洗，必要時使用抗生素藥膏</w:t>
      </w:r>
    </w:p>
    <w:p w:rsidR="00202BDB" w:rsidRDefault="00202BD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眼睛：每日眼科評估，生理食鹽水清洗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抗生素眼膏與眼藥水</w:t>
      </w:r>
    </w:p>
    <w:p w:rsidR="00202BDB" w:rsidRDefault="00202BD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口腔：定時以生理食鹽水沖洗，昏迷者需抽吸避免吸入性肺炎</w:t>
      </w:r>
    </w:p>
    <w:p w:rsidR="00202BDB" w:rsidRDefault="00202BD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鼻腔、耳朵：棉棒清潔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抗生素或凡士林藥膏</w:t>
      </w:r>
    </w:p>
    <w:p w:rsidR="00202BDB" w:rsidRDefault="00202BD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肛門生殖區、指間：每日清潔，潮濕導致浸潤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(maceration)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者可用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0.5%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硝酸銀溶液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維持電解質及體液平衡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適當鎮靜止痛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良好呼吸照護</w:t>
      </w:r>
    </w:p>
    <w:p w:rsidR="00202BDB" w:rsidRDefault="00202BDB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系統性治療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類固醇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免疫抑制劑</w:t>
      </w:r>
    </w:p>
    <w:p w:rsidR="00202BDB" w:rsidRDefault="00202BDB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IVIG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、血漿交換術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：移除血中免疫活性物質、降低過敏反應</w:t>
      </w:r>
    </w:p>
    <w:p w:rsidR="00202BDB" w:rsidRDefault="00202BDB">
      <w:pPr>
        <w:numPr>
          <w:ilvl w:val="0"/>
          <w:numId w:val="1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202BDB" w:rsidRDefault="00202BDB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平均死亡率：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1-5%</w:t>
      </w:r>
    </w:p>
    <w:p w:rsidR="00202BDB" w:rsidRDefault="00202BDB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平均死亡率：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25-35%</w:t>
      </w:r>
    </w:p>
    <w:p w:rsidR="00202BDB" w:rsidRDefault="00202BDB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預後評估：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Severity-of-Illness Score for Toxic Epidermal Necrolysis (SCORTEN)</w:t>
      </w:r>
    </w:p>
    <w:p w:rsidR="00202BDB" w:rsidRDefault="00202BDB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670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BDB" w:rsidRDefault="00202BDB">
      <w:pPr>
        <w:numPr>
          <w:ilvl w:val="0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Drug reaction with eosinophilia and systemic symptoms (DRESS) = Drug-induced hypersensitivity syndrome (DIHS)</w:t>
      </w:r>
    </w:p>
    <w:p w:rsidR="00202BDB" w:rsidRDefault="00202BDB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罕見、潛在致命的免疫介導性藥物不良反應，特徵是皮膚表現伴隨內部器官影響</w:t>
      </w:r>
    </w:p>
    <w:p w:rsidR="00202BDB" w:rsidRDefault="00202BDB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幾乎由藥物引起</w:t>
      </w:r>
      <w:r>
        <w:rPr>
          <w:rFonts w:ascii="微軟正黑體" w:eastAsia="微軟正黑體" w:hAnsi="微軟正黑體" w:cs="Calibri" w:hint="eastAsia"/>
          <w:sz w:val="21"/>
          <w:szCs w:val="21"/>
        </w:rPr>
        <w:t>(70-90%)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抗癲癇藥：</w:t>
      </w:r>
      <w:r>
        <w:rPr>
          <w:rFonts w:ascii="微軟正黑體" w:eastAsia="微軟正黑體" w:hAnsi="微軟正黑體" w:cs="Calibri" w:hint="eastAsia"/>
          <w:sz w:val="21"/>
          <w:szCs w:val="21"/>
        </w:rPr>
        <w:t>lamotrigine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carbamazepine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phenobarbital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oxcarbazepine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zonisamide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抗生素：</w:t>
      </w:r>
      <w:r>
        <w:rPr>
          <w:rFonts w:ascii="微軟正黑體" w:eastAsia="微軟正黑體" w:hAnsi="微軟正黑體" w:cs="Calibri" w:hint="eastAsia"/>
          <w:sz w:val="21"/>
          <w:szCs w:val="21"/>
        </w:rPr>
        <w:t>dapsone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sulfamethoxazole/trimethoprim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piperacillin/tazobactam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vancomycin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minocycline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abacavir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nevirapine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、磺胺類藥物、</w:t>
      </w:r>
      <w:r>
        <w:rPr>
          <w:rFonts w:ascii="微軟正黑體" w:eastAsia="微軟正黑體" w:hAnsi="微軟正黑體" w:cs="Calibri" w:hint="eastAsia"/>
          <w:sz w:val="21"/>
          <w:szCs w:val="21"/>
        </w:rPr>
        <w:t>rifampicin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Allopurinol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HHV-6</w:t>
      </w:r>
      <w:r>
        <w:rPr>
          <w:rFonts w:ascii="微軟正黑體" w:eastAsia="微軟正黑體" w:hAnsi="微軟正黑體" w:cs="Calibri" w:hint="eastAsia"/>
          <w:sz w:val="21"/>
          <w:szCs w:val="21"/>
        </w:rPr>
        <w:t>初次感染或再次活化</w:t>
      </w:r>
    </w:p>
    <w:p w:rsidR="00202BDB" w:rsidRDefault="00202BD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危險因子：</w:t>
      </w:r>
      <w:r>
        <w:rPr>
          <w:rFonts w:ascii="微軟正黑體" w:eastAsia="微軟正黑體" w:hAnsi="微軟正黑體" w:cs="Calibri" w:hint="eastAsia"/>
          <w:sz w:val="21"/>
          <w:szCs w:val="21"/>
        </w:rPr>
        <w:t>免疫低下族群、藥物基因易感性</w:t>
      </w:r>
      <w:r>
        <w:rPr>
          <w:rFonts w:ascii="微軟正黑體" w:eastAsia="微軟正黑體" w:hAnsi="微軟正黑體" w:cs="Calibri" w:hint="eastAsia"/>
          <w:sz w:val="21"/>
          <w:szCs w:val="21"/>
        </w:rPr>
        <w:t>(Pharmacogenetic susceptibility)</w:t>
      </w:r>
    </w:p>
    <w:p w:rsidR="00202BDB" w:rsidRDefault="00202BDB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病生理學：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遺傳易感性與</w:t>
      </w:r>
      <w:r>
        <w:rPr>
          <w:rFonts w:ascii="微軟正黑體" w:eastAsia="微軟正黑體" w:hAnsi="微軟正黑體" w:cs="Calibri" w:hint="eastAsia"/>
          <w:sz w:val="21"/>
          <w:szCs w:val="21"/>
        </w:rPr>
        <w:t>Type 4</w:t>
      </w:r>
      <w:r>
        <w:rPr>
          <w:rFonts w:ascii="微軟正黑體" w:eastAsia="微軟正黑體" w:hAnsi="微軟正黑體" w:cs="Calibri" w:hint="eastAsia"/>
          <w:sz w:val="21"/>
          <w:szCs w:val="21"/>
        </w:rPr>
        <w:t>過敏反應之間的相互作用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與</w:t>
      </w:r>
      <w:r>
        <w:rPr>
          <w:rFonts w:ascii="微軟正黑體" w:eastAsia="微軟正黑體" w:hAnsi="微軟正黑體" w:cs="Calibri" w:hint="eastAsia"/>
          <w:sz w:val="21"/>
          <w:szCs w:val="21"/>
        </w:rPr>
        <w:t>IL-5</w:t>
      </w:r>
      <w:r>
        <w:rPr>
          <w:rFonts w:ascii="微軟正黑體" w:eastAsia="微軟正黑體" w:hAnsi="微軟正黑體" w:cs="Calibri" w:hint="eastAsia"/>
          <w:sz w:val="21"/>
          <w:szCs w:val="21"/>
        </w:rPr>
        <w:t>活化嗜酸性細胞增生、皮膚和內臟器官中藥物特異性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T  cell</w:t>
      </w:r>
      <w:r>
        <w:rPr>
          <w:rFonts w:ascii="微軟正黑體" w:eastAsia="微軟正黑體" w:hAnsi="微軟正黑體" w:cs="Calibri" w:hint="eastAsia"/>
          <w:sz w:val="21"/>
          <w:szCs w:val="21"/>
        </w:rPr>
        <w:t>活化有關</w:t>
      </w:r>
    </w:p>
    <w:p w:rsidR="00202BDB" w:rsidRDefault="00202BDB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發病時間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(Time interval)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初次接觸：通常在藥物暴露後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2-8 </w:t>
      </w:r>
      <w:r>
        <w:rPr>
          <w:rFonts w:ascii="微軟正黑體" w:eastAsia="微軟正黑體" w:hAnsi="微軟正黑體" w:cs="Calibri" w:hint="eastAsia"/>
          <w:sz w:val="21"/>
          <w:szCs w:val="21"/>
        </w:rPr>
        <w:t>週出現症狀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再次接觸：暴露後數小時或數天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症狀：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發燒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通常是高燒，</w:t>
      </w:r>
      <w:r>
        <w:rPr>
          <w:rFonts w:ascii="微軟正黑體" w:eastAsia="微軟正黑體" w:hAnsi="微軟正黑體" w:cs="Calibri" w:hint="eastAsia"/>
          <w:sz w:val="21"/>
          <w:szCs w:val="21"/>
        </w:rPr>
        <w:t>&gt;38.5</w:t>
      </w:r>
      <w:r>
        <w:rPr>
          <w:rFonts w:ascii="微軟正黑體" w:eastAsia="微軟正黑體" w:hAnsi="微軟正黑體" w:cs="Calibri" w:hint="eastAsia"/>
          <w:sz w:val="21"/>
          <w:szCs w:val="21"/>
        </w:rPr>
        <w:t>°</w:t>
      </w:r>
      <w:r>
        <w:rPr>
          <w:rFonts w:ascii="微軟正黑體" w:eastAsia="微軟正黑體" w:hAnsi="微軟正黑體" w:cs="Calibri" w:hint="eastAsia"/>
          <w:sz w:val="21"/>
          <w:szCs w:val="21"/>
        </w:rPr>
        <w:t>C</w:t>
      </w:r>
      <w:r>
        <w:rPr>
          <w:rFonts w:ascii="微軟正黑體" w:eastAsia="微軟正黑體" w:hAnsi="微軟正黑體" w:cs="Calibri" w:hint="eastAsia"/>
          <w:sz w:val="21"/>
          <w:szCs w:val="21"/>
        </w:rPr>
        <w:t>，伴隨高低起伏</w:t>
      </w:r>
      <w:r>
        <w:rPr>
          <w:rFonts w:ascii="微軟正黑體" w:eastAsia="微軟正黑體" w:hAnsi="微軟正黑體" w:cs="Calibri" w:hint="eastAsia"/>
          <w:sz w:val="21"/>
          <w:szCs w:val="21"/>
        </w:rPr>
        <w:t>)(85%)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瀰漫性皮疹</w:t>
      </w:r>
      <w:r>
        <w:rPr>
          <w:rFonts w:ascii="微軟正黑體" w:eastAsia="微軟正黑體" w:hAnsi="微軟正黑體" w:cs="Calibri" w:hint="eastAsia"/>
          <w:sz w:val="21"/>
          <w:szCs w:val="21"/>
        </w:rPr>
        <w:t>(75%)</w:t>
      </w:r>
      <w:r>
        <w:rPr>
          <w:rFonts w:ascii="微軟正黑體" w:eastAsia="微軟正黑體" w:hAnsi="微軟正黑體" w:cs="Calibri" w:hint="eastAsia"/>
          <w:sz w:val="21"/>
          <w:szCs w:val="21"/>
        </w:rPr>
        <w:t>：以麻疹樣皮疹開始，隨後變為水腫樣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淋巴結腫大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臉部水腫</w:t>
      </w:r>
    </w:p>
    <w:p w:rsidR="00202BDB" w:rsidRDefault="00202BD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內部器官影響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見</w:t>
      </w:r>
      <w:r>
        <w:rPr>
          <w:rFonts w:ascii="微軟正黑體" w:eastAsia="微軟正黑體" w:hAnsi="微軟正黑體" w:cs="Calibri" w:hint="eastAsia"/>
          <w:sz w:val="21"/>
          <w:szCs w:val="21"/>
        </w:rPr>
        <w:t>"</w:t>
      </w:r>
      <w:r>
        <w:rPr>
          <w:rFonts w:ascii="微軟正黑體" w:eastAsia="微軟正黑體" w:hAnsi="微軟正黑體" w:cs="Calibri" w:hint="eastAsia"/>
          <w:sz w:val="21"/>
          <w:szCs w:val="21"/>
        </w:rPr>
        <w:t>併發症</w:t>
      </w:r>
      <w:r>
        <w:rPr>
          <w:rFonts w:ascii="微軟正黑體" w:eastAsia="微軟正黑體" w:hAnsi="微軟正黑體" w:cs="Calibri" w:hint="eastAsia"/>
          <w:sz w:val="21"/>
          <w:szCs w:val="21"/>
        </w:rPr>
        <w:t>")</w:t>
      </w:r>
    </w:p>
    <w:p w:rsidR="00202BDB" w:rsidRDefault="00202BDB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主要基於臨床表現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發燒、瀰漫性皮疹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、詳細的藥物史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最近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2-8 </w:t>
      </w:r>
      <w:r>
        <w:rPr>
          <w:rFonts w:ascii="微軟正黑體" w:eastAsia="微軟正黑體" w:hAnsi="微軟正黑體" w:cs="Calibri" w:hint="eastAsia"/>
          <w:sz w:val="21"/>
          <w:szCs w:val="21"/>
        </w:rPr>
        <w:t>週內開始使用的藥物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、是否有內部器官受影響、是否有嗜酸性球增加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常見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綜合判斷</w:t>
      </w:r>
    </w:p>
    <w:p w:rsidR="00202BDB" w:rsidRDefault="00202BD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RegiSCAR score</w:t>
      </w:r>
      <w:r>
        <w:rPr>
          <w:rFonts w:ascii="微軟正黑體" w:eastAsia="微軟正黑體" w:hAnsi="微軟正黑體" w:cs="Calibri" w:hint="eastAsia"/>
          <w:sz w:val="21"/>
          <w:szCs w:val="21"/>
        </w:rPr>
        <w:t>：協助診斷</w:t>
      </w:r>
      <w:r>
        <w:rPr>
          <w:rFonts w:ascii="微軟正黑體" w:eastAsia="微軟正黑體" w:hAnsi="微軟正黑體" w:cs="Calibri" w:hint="eastAsia"/>
          <w:sz w:val="21"/>
          <w:szCs w:val="21"/>
        </w:rPr>
        <w:t>DRESS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5"/>
        <w:gridCol w:w="705"/>
        <w:gridCol w:w="679"/>
        <w:gridCol w:w="1242"/>
        <w:gridCol w:w="1025"/>
      </w:tblGrid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Unknown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&gt;38.5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必要項目之一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淋巴結腫大（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處，且每處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&gt;1 cm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典型表現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非典型淋巴球（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Atypical lymphocytes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嗜酸性球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以下擇一計分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1499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或佔白血球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皮疹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以下三項獨立計分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面積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體表面積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種以上特徵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如水腫、浸潤、紫癜、脫屑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皮膚切片符合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DRESS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器官影響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以下擇一計分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一個器官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兩個以上器官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症狀持續超過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已排除其他診斷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完成至少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項生化檢查且為陰性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總分與診斷標準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1979113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否定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(No case)</w:t>
            </w:r>
          </w:p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(Possible case)</w:t>
            </w:r>
          </w:p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可能性高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(Probable case)</w:t>
            </w:r>
          </w:p>
          <w:p w:rsidR="00202BDB" w:rsidRDefault="00202BD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6        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(Definite case)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2BDB" w:rsidRDefault="00202BD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202BDB" w:rsidRDefault="00202BDB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02BDB" w:rsidRDefault="00202BDB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全身性類固醇</w:t>
      </w:r>
      <w:r>
        <w:rPr>
          <w:rFonts w:ascii="微軟正黑體" w:eastAsia="微軟正黑體" w:hAnsi="微軟正黑體" w:cs="Calibri" w:hint="eastAsia"/>
          <w:sz w:val="21"/>
          <w:szCs w:val="21"/>
        </w:rPr>
        <w:t>(PO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IV)</w:t>
      </w:r>
      <w:r>
        <w:rPr>
          <w:rFonts w:ascii="微軟正黑體" w:eastAsia="微軟正黑體" w:hAnsi="微軟正黑體" w:cs="Calibri" w:hint="eastAsia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sz w:val="21"/>
          <w:szCs w:val="21"/>
        </w:rPr>
        <w:t>1st line</w:t>
      </w:r>
      <w:r>
        <w:rPr>
          <w:rFonts w:ascii="微軟正黑體" w:eastAsia="微軟正黑體" w:hAnsi="微軟正黑體" w:cs="Calibri" w:hint="eastAsia"/>
          <w:sz w:val="21"/>
          <w:szCs w:val="21"/>
        </w:rPr>
        <w:t>，通常需要長時間的逐漸減量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cyclosporine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cyclophosphamide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、血漿置換術、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IVIg</w:t>
      </w:r>
    </w:p>
    <w:p w:rsidR="00202BDB" w:rsidRDefault="00202BDB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通常用於難治性病例或對皮質類固醇有禁忌症時</w:t>
      </w:r>
    </w:p>
    <w:p w:rsidR="00202BDB" w:rsidRDefault="00202BDB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併發症：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其他器官侵犯：常見影響器官包括肝臟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、腎臟、肺部、心臟、肌肉、胰臟</w:t>
      </w:r>
    </w:p>
    <w:p w:rsidR="00202BDB" w:rsidRDefault="00202BDB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肝臟：肝臟壞死、衰竭</w:t>
      </w:r>
    </w:p>
    <w:p w:rsidR="00202BDB" w:rsidRDefault="00202BDB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腎臟：</w:t>
      </w:r>
      <w:r>
        <w:rPr>
          <w:rFonts w:ascii="微軟正黑體" w:eastAsia="微軟正黑體" w:hAnsi="微軟正黑體" w:cs="Calibri" w:hint="eastAsia"/>
          <w:sz w:val="21"/>
          <w:szCs w:val="21"/>
        </w:rPr>
        <w:t>GFR</w:t>
      </w:r>
      <w:r>
        <w:rPr>
          <w:rFonts w:ascii="微軟正黑體" w:eastAsia="微軟正黑體" w:hAnsi="微軟正黑體" w:cs="Calibri" w:hint="eastAsia"/>
          <w:sz w:val="21"/>
          <w:szCs w:val="21"/>
        </w:rPr>
        <w:t>↓、急性間質腎炎</w:t>
      </w:r>
    </w:p>
    <w:p w:rsidR="00202BDB" w:rsidRDefault="00202BDB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心臟：心肌炎</w:t>
      </w:r>
    </w:p>
    <w:p w:rsidR="00202BDB" w:rsidRDefault="00202BDB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肌肉：肌肉痠痛、無力</w:t>
      </w:r>
    </w:p>
    <w:p w:rsidR="00202BDB" w:rsidRDefault="00202BDB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胰臟：</w:t>
      </w:r>
      <w:r>
        <w:rPr>
          <w:rFonts w:ascii="微軟正黑體" w:eastAsia="微軟正黑體" w:hAnsi="微軟正黑體" w:cs="Calibri" w:hint="eastAsia"/>
          <w:sz w:val="21"/>
          <w:szCs w:val="21"/>
        </w:rPr>
        <w:t>amylase/lipase</w:t>
      </w:r>
      <w:r>
        <w:rPr>
          <w:rFonts w:ascii="微軟正黑體" w:eastAsia="微軟正黑體" w:hAnsi="微軟正黑體" w:cs="Calibri" w:hint="eastAsia"/>
          <w:sz w:val="21"/>
          <w:szCs w:val="21"/>
        </w:rPr>
        <w:t>↑、胰臟炎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多重器官衰竭</w:t>
      </w:r>
    </w:p>
    <w:p w:rsidR="00202BDB" w:rsidRDefault="00202BDB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死亡率約</w:t>
      </w:r>
      <w:r>
        <w:rPr>
          <w:rFonts w:ascii="微軟正黑體" w:eastAsia="微軟正黑體" w:hAnsi="微軟正黑體" w:cs="Calibri" w:hint="eastAsia"/>
          <w:sz w:val="21"/>
          <w:szCs w:val="21"/>
        </w:rPr>
        <w:t>2-10%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肝臟壞死導致肝臟衰竭為主要死因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延遲停藥會使預後惡化</w:t>
      </w:r>
    </w:p>
    <w:p w:rsidR="00202BDB" w:rsidRDefault="00202BD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症狀可能需要數週或數月才能緩解</w:t>
      </w:r>
    </w:p>
    <w:p w:rsidR="00202BDB" w:rsidRDefault="00202BDB">
      <w:pPr>
        <w:numPr>
          <w:ilvl w:val="0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急性廣泛性發疹性膿疱病</w:t>
      </w:r>
      <w:r>
        <w:rPr>
          <w:rFonts w:ascii="微軟正黑體" w:eastAsia="微軟正黑體" w:hAnsi="微軟正黑體" w:cs="Calibri" w:hint="eastAsia"/>
          <w:color w:val="183C66"/>
        </w:rPr>
        <w:t xml:space="preserve"> (Acute Generalized Exanthematous Pustulosis, AGEP)</w:t>
      </w:r>
    </w:p>
    <w:p w:rsidR="00202BDB" w:rsidRDefault="00202BDB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流行病學：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HLA-B5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-DR11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-DQ3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AGEP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患者中更常見</w:t>
      </w:r>
    </w:p>
    <w:p w:rsidR="00202BDB" w:rsidRDefault="00202BD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最常見的原因是藥物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常見藥物：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Cephalosporins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Clindamycin</w:t>
      </w:r>
      <w:r>
        <w:rPr>
          <w:rFonts w:ascii="微軟正黑體" w:eastAsia="微軟正黑體" w:hAnsi="微軟正黑體" w:cs="Calibri" w:hint="eastAsia"/>
          <w:sz w:val="22"/>
          <w:szCs w:val="22"/>
        </w:rPr>
        <w:t>、磺胺類藥物、</w:t>
      </w:r>
      <w:r>
        <w:rPr>
          <w:rFonts w:ascii="微軟正黑體" w:eastAsia="微軟正黑體" w:hAnsi="微軟正黑體" w:cs="Calibri" w:hint="eastAsia"/>
          <w:sz w:val="22"/>
          <w:szCs w:val="22"/>
        </w:rPr>
        <w:t>Metronidazole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Carbapenems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Quinolones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Macrolides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鈣離子通道阻滯劑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(Calcium </w:t>
      </w:r>
      <w:r>
        <w:rPr>
          <w:rFonts w:ascii="微軟正黑體" w:eastAsia="微軟正黑體" w:hAnsi="微軟正黑體" w:cs="Calibri" w:hint="eastAsia"/>
          <w:sz w:val="22"/>
          <w:szCs w:val="22"/>
        </w:rPr>
        <w:t>channel blockers)</w:t>
      </w:r>
      <w:r>
        <w:rPr>
          <w:rFonts w:ascii="微軟正黑體" w:eastAsia="微軟正黑體" w:hAnsi="微軟正黑體" w:cs="Calibri" w:hint="eastAsia"/>
          <w:sz w:val="22"/>
          <w:szCs w:val="22"/>
        </w:rPr>
        <w:t>：特別是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Diltiazem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其他罕見原因包括：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汞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胰島素注射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02BDB" w:rsidRDefault="00202BD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Type 4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202BDB" w:rsidRDefault="00202BDB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發病：非常迅速，通常在給藥後短於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4 </w:t>
      </w:r>
      <w:r>
        <w:rPr>
          <w:rFonts w:ascii="微軟正黑體" w:eastAsia="微軟正黑體" w:hAnsi="微軟正黑體" w:cs="Calibri" w:hint="eastAsia"/>
          <w:sz w:val="22"/>
          <w:szCs w:val="22"/>
        </w:rPr>
        <w:t>天出現皮疹。再次接觸致病藥物時，發病時間會更短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皮膚病灶：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皮疹通常開始於臉部或主要的皺摺區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如腋窩和腹股溝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，然後在數小時內擴散全身，通常持續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202BDB" w:rsidRDefault="00202BD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特徵為大量、微小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(&lt;5 mm)</w:t>
      </w:r>
      <w:r>
        <w:rPr>
          <w:rFonts w:ascii="微軟正黑體" w:eastAsia="微軟正黑體" w:hAnsi="微軟正黑體" w:cs="Calibri" w:hint="eastAsia"/>
          <w:sz w:val="22"/>
          <w:szCs w:val="22"/>
        </w:rPr>
        <w:t>、主要為非毛囊性、無菌性膿疱</w:t>
      </w:r>
    </w:p>
    <w:p w:rsidR="00202BDB" w:rsidRDefault="00202BD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發生在全身的水腫性紅斑皮膚上，膿疱可能匯合</w:t>
      </w:r>
    </w:p>
    <w:p w:rsidR="00202BDB" w:rsidRDefault="00202BD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消退後通常會出現表面脫屑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可能伴隨灼熱感、瘙癢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黏膜侵犯</w:t>
      </w:r>
      <w:r>
        <w:rPr>
          <w:rFonts w:ascii="微軟正黑體" w:eastAsia="微軟正黑體" w:hAnsi="微軟正黑體" w:cs="Calibri" w:hint="eastAsia"/>
          <w:sz w:val="22"/>
          <w:szCs w:val="22"/>
        </w:rPr>
        <w:t>(50%)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全身症狀：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常伴隨高燒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38.5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>C)</w:t>
      </w:r>
    </w:p>
    <w:p w:rsidR="00202BDB" w:rsidRDefault="00202BD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少數患者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(17%)</w:t>
      </w:r>
      <w:r>
        <w:rPr>
          <w:rFonts w:ascii="微軟正黑體" w:eastAsia="微軟正黑體" w:hAnsi="微軟正黑體" w:cs="Calibri" w:hint="eastAsia"/>
          <w:sz w:val="22"/>
          <w:szCs w:val="22"/>
        </w:rPr>
        <w:t>有全身系統侵犯</w:t>
      </w:r>
    </w:p>
    <w:p w:rsidR="00202BDB" w:rsidRDefault="00202BD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主要部位是肝臟、腎臟和肺部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急性呼吸窘迫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02BDB" w:rsidRDefault="00202BD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其他特徵：</w:t>
      </w:r>
    </w:p>
    <w:p w:rsidR="00202BDB" w:rsidRDefault="00202BDB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白血球升高伴明顯嗜中性球增多、輕度至中度嗜酸性粒細胞增多</w:t>
      </w:r>
    </w:p>
    <w:p w:rsidR="00202BDB" w:rsidRDefault="00202BDB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短暫腎功能不全</w:t>
      </w:r>
    </w:p>
    <w:p w:rsidR="00202BDB" w:rsidRDefault="00202BDB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202BDB" w:rsidRDefault="00202BDB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低血鈣</w:t>
      </w:r>
    </w:p>
    <w:p w:rsidR="00202BDB" w:rsidRDefault="00202BDB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立即停用所有可能的致病藥物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支持性治療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通常不常規推薦預防性抗生素，除非有感染跡象</w:t>
      </w:r>
    </w:p>
    <w:p w:rsidR="00202BDB" w:rsidRDefault="00202BDB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通常是自限性疾病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皮疹通常在停藥後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sz w:val="22"/>
          <w:szCs w:val="22"/>
        </w:rPr>
        <w:t>週內消退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不會進展為毒性表皮壞死症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(TEN)</w:t>
      </w:r>
    </w:p>
    <w:p w:rsidR="00202BDB" w:rsidRDefault="00202BD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死亡率相對較低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1-2%)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2BDB" w:rsidRDefault="00202BDB" w:rsidP="00202BDB">
      <w:r>
        <w:separator/>
      </w:r>
    </w:p>
  </w:endnote>
  <w:endnote w:type="continuationSeparator" w:id="0">
    <w:p w:rsidR="00202BDB" w:rsidRDefault="00202BDB" w:rsidP="0020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2BDB" w:rsidRDefault="00202BDB" w:rsidP="00202BDB">
      <w:r>
        <w:separator/>
      </w:r>
    </w:p>
  </w:footnote>
  <w:footnote w:type="continuationSeparator" w:id="0">
    <w:p w:rsidR="00202BDB" w:rsidRDefault="00202BDB" w:rsidP="00202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192"/>
    <w:multiLevelType w:val="multilevel"/>
    <w:tmpl w:val="6F8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792444"/>
    <w:multiLevelType w:val="multilevel"/>
    <w:tmpl w:val="11C2A2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B0126E7"/>
    <w:multiLevelType w:val="multilevel"/>
    <w:tmpl w:val="4B7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4444DB"/>
    <w:multiLevelType w:val="multilevel"/>
    <w:tmpl w:val="A4BE7E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1747286"/>
    <w:multiLevelType w:val="multilevel"/>
    <w:tmpl w:val="981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130601"/>
    <w:multiLevelType w:val="multilevel"/>
    <w:tmpl w:val="14F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EE7520"/>
    <w:multiLevelType w:val="multilevel"/>
    <w:tmpl w:val="383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481EE4"/>
    <w:multiLevelType w:val="multilevel"/>
    <w:tmpl w:val="8E98FE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D905ADD"/>
    <w:multiLevelType w:val="multilevel"/>
    <w:tmpl w:val="538EFB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DD15375"/>
    <w:multiLevelType w:val="multilevel"/>
    <w:tmpl w:val="ED7C5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83565878">
    <w:abstractNumId w:val="4"/>
  </w:num>
  <w:num w:numId="2" w16cid:durableId="250772658">
    <w:abstractNumId w:val="5"/>
  </w:num>
  <w:num w:numId="3" w16cid:durableId="679820449">
    <w:abstractNumId w:val="1"/>
  </w:num>
  <w:num w:numId="4" w16cid:durableId="18814739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262239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618195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900576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63418475">
    <w:abstractNumId w:val="0"/>
  </w:num>
  <w:num w:numId="9" w16cid:durableId="39362137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1054046324">
    <w:abstractNumId w:val="7"/>
  </w:num>
  <w:num w:numId="11" w16cid:durableId="1796294918">
    <w:abstractNumId w:val="8"/>
  </w:num>
  <w:num w:numId="12" w16cid:durableId="328600206">
    <w:abstractNumId w:val="3"/>
  </w:num>
  <w:num w:numId="13" w16cid:durableId="890848492">
    <w:abstractNumId w:val="2"/>
  </w:num>
  <w:num w:numId="14" w16cid:durableId="1371102385">
    <w:abstractNumId w:val="9"/>
  </w:num>
  <w:num w:numId="15" w16cid:durableId="165479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DB"/>
    <w:rsid w:val="00202BDB"/>
    <w:rsid w:val="0093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98E30B-1B74-4557-8106-945C8018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2B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2BD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02B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2BD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635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