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0FB1" w:rsidRDefault="00F70FB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發紺型先天心臟病</w:t>
      </w:r>
    </w:p>
    <w:p w:rsidR="00F70FB1" w:rsidRDefault="00F70FB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F70FB1" w:rsidRDefault="00F70FB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p w:rsidR="00F70FB1" w:rsidRDefault="00F70FB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70FB1" w:rsidRDefault="00F70FB1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重點整理</w:t>
      </w:r>
    </w:p>
    <w:p w:rsidR="00F70FB1" w:rsidRDefault="00F70F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</w:t>
      </w:r>
      <w:r>
        <w:rPr>
          <w:rFonts w:ascii="Calibri" w:hAnsi="Calibri" w:cs="Calibri"/>
          <w:sz w:val="22"/>
          <w:szCs w:val="22"/>
          <w:lang w:val="en-GB"/>
        </w:rPr>
        <w:t>TAPVR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，全部都需要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維持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開啟</w:t>
      </w:r>
    </w:p>
    <w:p w:rsidR="00F70FB1" w:rsidRDefault="00F70F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除了三尖瓣閉鎖，全部都會右心室肥大</w:t>
      </w:r>
    </w:p>
    <w:p w:rsidR="00F70FB1" w:rsidRDefault="00F70F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不能關：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F70FB1" w:rsidRDefault="00F70F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肺血紋減少：</w:t>
      </w:r>
      <w:r>
        <w:rPr>
          <w:rFonts w:ascii="Calibri" w:hAnsi="Calibri" w:cs="Calibri"/>
          <w:sz w:val="22"/>
          <w:szCs w:val="22"/>
          <w:lang w:val="en-GB"/>
        </w:rPr>
        <w:t>TOF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 atresia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、未合併轉位的三尖瓣閉鎖、兩側</w:t>
      </w:r>
      <w:r>
        <w:rPr>
          <w:rFonts w:ascii="Calibri" w:hAnsi="Calibri" w:cs="Calibri"/>
          <w:sz w:val="22"/>
          <w:szCs w:val="22"/>
          <w:lang w:val="en-GB"/>
        </w:rPr>
        <w:t>RA</w:t>
      </w:r>
    </w:p>
    <w:p w:rsidR="00F70FB1" w:rsidRDefault="00F70FB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肺血紋增加：</w:t>
      </w:r>
      <w:r>
        <w:rPr>
          <w:rFonts w:ascii="Calibri" w:hAnsi="Calibri" w:cs="Calibri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TVPVR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合併轉位的三尖瓣閉鎖、</w:t>
      </w:r>
      <w:r>
        <w:rPr>
          <w:rFonts w:ascii="Calibri" w:hAnsi="Calibri" w:cs="Calibri"/>
          <w:sz w:val="22"/>
          <w:szCs w:val="22"/>
          <w:lang w:val="en-GB"/>
        </w:rPr>
        <w:t>HLHS</w:t>
      </w:r>
    </w:p>
    <w:p w:rsidR="00F70FB1" w:rsidRDefault="00F70FB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0FB1" w:rsidRDefault="00F70FB1" w:rsidP="00F70FB1">
      <w:r>
        <w:separator/>
      </w:r>
    </w:p>
  </w:endnote>
  <w:endnote w:type="continuationSeparator" w:id="0">
    <w:p w:rsidR="00F70FB1" w:rsidRDefault="00F70FB1" w:rsidP="00F70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0FB1" w:rsidRDefault="00F70FB1" w:rsidP="00F70FB1">
      <w:r>
        <w:separator/>
      </w:r>
    </w:p>
  </w:footnote>
  <w:footnote w:type="continuationSeparator" w:id="0">
    <w:p w:rsidR="00F70FB1" w:rsidRDefault="00F70FB1" w:rsidP="00F70F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E38"/>
    <w:multiLevelType w:val="multilevel"/>
    <w:tmpl w:val="94F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B1"/>
    <w:rsid w:val="009B4B5B"/>
    <w:rsid w:val="00F7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5B74E5-A97E-423B-AE67-E314D8AB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70F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70FB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70FB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70FB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