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5A7B" w:rsidRDefault="00215A7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食道穿孔</w:t>
      </w:r>
    </w:p>
    <w:p w:rsidR="00215A7B" w:rsidRDefault="00215A7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215A7B" w:rsidRDefault="00215A7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2:40</w:t>
      </w:r>
    </w:p>
    <w:p w:rsidR="00215A7B" w:rsidRDefault="00215A7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15A7B" w:rsidRDefault="00215A7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215A7B" w:rsidRDefault="00215A7B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Boerhaave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：男</w:t>
      </w:r>
      <w:r>
        <w:rPr>
          <w:rFonts w:ascii="Lato" w:hAnsi="Lato" w:cs="Calibri"/>
          <w:color w:val="1A1C1C"/>
          <w:shd w:val="clear" w:color="auto" w:fill="FFFFFF"/>
        </w:rPr>
        <w:t> &gt;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 xml:space="preserve"> 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約三分之二的患者，穿孔局限於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胸段食道（</w:t>
      </w:r>
      <w:r>
        <w:rPr>
          <w:rFonts w:ascii="Calibri" w:hAnsi="Calibri" w:cs="Calibri"/>
          <w:b/>
          <w:bCs/>
          <w:sz w:val="22"/>
          <w:szCs w:val="22"/>
        </w:rPr>
        <w:t>thoracic esophagus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，剩下三分之一則涉及腹部食道</w:t>
      </w:r>
    </w:p>
    <w:p w:rsidR="00215A7B" w:rsidRDefault="00215A7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215A7B" w:rsidRDefault="00215A7B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醫源性</w:t>
      </w:r>
    </w:p>
    <w:p w:rsidR="00215A7B" w:rsidRDefault="00215A7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最常見</w:t>
      </w:r>
    </w:p>
    <w:p w:rsidR="00215A7B" w:rsidRDefault="00215A7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上消化道內視鏡、手術</w:t>
      </w:r>
    </w:p>
    <w:p w:rsidR="00215A7B" w:rsidRDefault="00215A7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異物或腐蝕性物質</w:t>
      </w:r>
    </w:p>
    <w:p w:rsidR="00215A7B" w:rsidRDefault="00215A7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骨頭、假牙</w:t>
      </w:r>
    </w:p>
    <w:p w:rsidR="00215A7B" w:rsidRDefault="00215A7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強鹼、強酸物質：清潔劑、電池</w:t>
      </w:r>
    </w:p>
    <w:p w:rsidR="00215A7B" w:rsidRDefault="00215A7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創傷</w:t>
      </w:r>
    </w:p>
    <w:p w:rsidR="00215A7B" w:rsidRDefault="00215A7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鈍傷、穿刺傷</w:t>
      </w:r>
    </w:p>
    <w:p w:rsidR="00215A7B" w:rsidRDefault="00215A7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惡性腫瘤</w:t>
      </w:r>
    </w:p>
    <w:p w:rsidR="00215A7B" w:rsidRDefault="00215A7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感染</w:t>
      </w:r>
    </w:p>
    <w:p w:rsidR="00215A7B" w:rsidRDefault="00215A7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念珠菌（</w:t>
      </w:r>
      <w:r>
        <w:rPr>
          <w:rFonts w:ascii="Calibri" w:hAnsi="Calibri" w:cs="Calibri"/>
          <w:b/>
          <w:bCs/>
          <w:sz w:val="22"/>
          <w:szCs w:val="22"/>
        </w:rPr>
        <w:t>Candida spp.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單純皰疹（</w:t>
      </w:r>
      <w:r>
        <w:rPr>
          <w:rFonts w:ascii="Calibri" w:hAnsi="Calibri" w:cs="Calibri"/>
          <w:b/>
          <w:bCs/>
          <w:sz w:val="22"/>
          <w:szCs w:val="22"/>
        </w:rPr>
        <w:t>Herpes simplex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結核（</w:t>
      </w:r>
      <w:r>
        <w:rPr>
          <w:rFonts w:ascii="Calibri" w:hAnsi="Calibri" w:cs="Calibri"/>
          <w:b/>
          <w:bCs/>
          <w:sz w:val="22"/>
          <w:szCs w:val="22"/>
        </w:rPr>
        <w:t>Tuberculosis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梅毒（</w:t>
      </w:r>
      <w:r>
        <w:rPr>
          <w:rFonts w:ascii="Calibri" w:hAnsi="Calibri" w:cs="Calibri"/>
          <w:b/>
          <w:bCs/>
          <w:sz w:val="22"/>
          <w:szCs w:val="22"/>
        </w:rPr>
        <w:t>Syphilis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</w:t>
      </w:r>
    </w:p>
    <w:p w:rsidR="00215A7B" w:rsidRDefault="00215A7B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215A7B" w:rsidRDefault="00215A7B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症狀通常不具特異性，所以對於近期有誘發因子（嘔吐、上消化道內視鏡、創傷、食道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縱膈腫瘤），需保持高度懷疑</w:t>
      </w:r>
    </w:p>
    <w:p w:rsidR="00215A7B" w:rsidRDefault="00215A7B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Mackler triad</w:t>
      </w:r>
    </w:p>
    <w:p w:rsidR="00215A7B" w:rsidRDefault="00215A7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215A7B" w:rsidRDefault="00215A7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胸骨後疼痛（</w:t>
      </w:r>
      <w:r>
        <w:rPr>
          <w:rFonts w:ascii="Calibri" w:hAnsi="Calibri" w:cs="Calibri"/>
          <w:sz w:val="22"/>
          <w:szCs w:val="22"/>
        </w:rPr>
        <w:t>retrosternal pain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）：劇烈、常放射至背部</w:t>
      </w:r>
    </w:p>
    <w:p w:rsidR="00215A7B" w:rsidRDefault="00215A7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皮下或縱膈氣腫（</w:t>
      </w:r>
      <w:r>
        <w:rPr>
          <w:rFonts w:ascii="Calibri" w:hAnsi="Calibri" w:cs="Calibri"/>
          <w:sz w:val="22"/>
          <w:szCs w:val="22"/>
        </w:rPr>
        <w:t>Subcutaneous or mediastinal emphysema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鎖骨上窩及頸部可聽到摩擦音（</w:t>
      </w:r>
      <w:r>
        <w:rPr>
          <w:rFonts w:ascii="Calibri" w:hAnsi="Calibri" w:cs="Calibri"/>
          <w:sz w:val="22"/>
          <w:szCs w:val="22"/>
        </w:rPr>
        <w:t>crepitus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Hamman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：胸部聽診時可聽見爆裂音（</w:t>
      </w:r>
      <w:r>
        <w:rPr>
          <w:rFonts w:ascii="Calibri" w:hAnsi="Calibri" w:cs="Calibri"/>
          <w:sz w:val="22"/>
          <w:szCs w:val="22"/>
        </w:rPr>
        <w:t>crackling sound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疼痛：上腹、胸、頸部、喉嚨</w:t>
      </w:r>
    </w:p>
    <w:p w:rsidR="00215A7B" w:rsidRDefault="00215A7B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呼吸困難、心跳加快</w:t>
      </w:r>
    </w:p>
    <w:p w:rsidR="00215A7B" w:rsidRDefault="00215A7B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吞嚥困難</w:t>
      </w:r>
    </w:p>
    <w:p w:rsidR="00215A7B" w:rsidRDefault="00215A7B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病情惡化時，會演變成敗血症或多重器官衰竭</w:t>
      </w:r>
    </w:p>
    <w:p w:rsidR="00215A7B" w:rsidRDefault="00215A7B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若近期內有進行內視鏡檢查，症狀通常在術後</w:t>
      </w:r>
      <w:r>
        <w:rPr>
          <w:rFonts w:ascii="Calibri" w:hAnsi="Calibri" w:cs="Calibri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小時內出現</w:t>
      </w:r>
    </w:p>
    <w:p w:rsidR="00215A7B" w:rsidRDefault="00215A7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215A7B" w:rsidRDefault="00215A7B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頸部、胸部、腹部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sz w:val="22"/>
          <w:szCs w:val="22"/>
        </w:rPr>
        <w:t>光：初步診斷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縱膈擴大（</w:t>
      </w:r>
      <w:r>
        <w:rPr>
          <w:rFonts w:ascii="Calibri" w:hAnsi="Calibri" w:cs="Calibri"/>
          <w:sz w:val="22"/>
          <w:szCs w:val="22"/>
        </w:rPr>
        <w:t>Widened mediastinum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腔外氣體：縱膈氣腫（</w:t>
      </w:r>
      <w:r>
        <w:rPr>
          <w:rFonts w:ascii="Calibri" w:hAnsi="Calibri" w:cs="Calibri"/>
          <w:sz w:val="22"/>
          <w:szCs w:val="22"/>
        </w:rPr>
        <w:t>Pneumomediastinum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）、氣胸、氣腹（</w:t>
      </w:r>
      <w:r>
        <w:rPr>
          <w:rFonts w:ascii="Calibri" w:hAnsi="Calibri" w:cs="Calibri"/>
          <w:sz w:val="22"/>
          <w:szCs w:val="22"/>
        </w:rPr>
        <w:t>pneumoperitoneum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）、皮下氣腫（</w:t>
      </w:r>
      <w:r>
        <w:rPr>
          <w:rFonts w:ascii="Calibri" w:hAnsi="Calibri" w:cs="Calibri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皮下氣腫可靠側面頸部</w:t>
      </w:r>
      <w:r>
        <w:rPr>
          <w:rFonts w:ascii="Calibri" w:hAnsi="Calibri" w:cs="Calibri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光發現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肋膜積液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縱膈腔出現氣液平面（</w:t>
      </w:r>
      <w:r>
        <w:rPr>
          <w:rFonts w:ascii="Calibri" w:hAnsi="Calibri" w:cs="Calibri"/>
          <w:sz w:val="22"/>
          <w:szCs w:val="22"/>
        </w:rPr>
        <w:t>air-fluid levels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鋇劑食道攝影：確診黃金標準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可看到</w:t>
      </w:r>
      <w:r>
        <w:rPr>
          <w:rFonts w:ascii="微軟正黑體" w:eastAsia="微軟正黑體" w:hAnsi="微軟正黑體" w:cs="Calibri" w:hint="eastAsia"/>
          <w:sz w:val="22"/>
          <w:szCs w:val="22"/>
        </w:rPr>
        <w:t>鋇劑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外漏</w:t>
      </w:r>
      <w:r>
        <w:rPr>
          <w:rFonts w:ascii="微軟正黑體" w:eastAsia="微軟正黑體" w:hAnsi="微軟正黑體" w:cs="Calibri" w:hint="eastAsia"/>
          <w:sz w:val="22"/>
          <w:szCs w:val="22"/>
        </w:rPr>
        <w:t>，進而顯示穿孔位置與大小</w:t>
      </w:r>
    </w:p>
    <w:p w:rsidR="00215A7B" w:rsidRDefault="00215A7B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胸部與食道電腦斷層：確診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</w:t>
      </w:r>
    </w:p>
    <w:p w:rsidR="00215A7B" w:rsidRDefault="00215A7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病人不穩定或無法配合食道攝影</w:t>
      </w:r>
    </w:p>
    <w:p w:rsidR="00215A7B" w:rsidRDefault="00215A7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sz w:val="22"/>
          <w:szCs w:val="22"/>
        </w:rPr>
        <w:t>光檢查發現氣腹膜、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光結果不明確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影像發現</w:t>
      </w:r>
    </w:p>
    <w:p w:rsidR="00215A7B" w:rsidRDefault="00215A7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縱膈擴大</w:t>
      </w:r>
    </w:p>
    <w:p w:rsidR="00215A7B" w:rsidRDefault="00215A7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食道壁增厚、發炎、血腫</w:t>
      </w:r>
    </w:p>
    <w:p w:rsidR="00215A7B" w:rsidRDefault="00215A7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腔外氣體：縱膈氣腫、氣腹、氣胸、皮下氣腫</w:t>
      </w:r>
    </w:p>
    <w:p w:rsidR="00215A7B" w:rsidRDefault="00215A7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顯影劑外漏、或看到食道周圍有液體積聚</w:t>
      </w:r>
    </w:p>
    <w:p w:rsidR="00215A7B" w:rsidRDefault="00215A7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肋膜積液</w:t>
      </w:r>
    </w:p>
    <w:p w:rsidR="00215A7B" w:rsidRDefault="00215A7B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軟式內視鏡（</w:t>
      </w:r>
      <w:r>
        <w:rPr>
          <w:rFonts w:ascii="Calibri" w:hAnsi="Calibri" w:cs="Calibri"/>
          <w:sz w:val="22"/>
          <w:szCs w:val="22"/>
        </w:rPr>
        <w:t>Flexible endoscopy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直接觀察穿孔位置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適應症：穿刺性食道外損傷（</w:t>
      </w:r>
      <w:r>
        <w:rPr>
          <w:rFonts w:ascii="Calibri" w:hAnsi="Calibri" w:cs="Calibri"/>
          <w:sz w:val="22"/>
          <w:szCs w:val="22"/>
        </w:rPr>
        <w:t>penetrating external esophageal injury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避免使用在非穿刺性食道損傷，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可能會擴大本來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的穿孔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腐蝕性傷害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：緊急內視鏡</w:t>
      </w:r>
    </w:p>
    <w:p w:rsidR="00215A7B" w:rsidRDefault="00215A7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不建議使用口服顯影劑檢查</w:t>
      </w:r>
    </w:p>
    <w:p w:rsidR="00215A7B" w:rsidRDefault="00215A7B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嚴重度評估：</w:t>
      </w:r>
      <w:r>
        <w:rPr>
          <w:rFonts w:ascii="Calibri" w:hAnsi="Calibri" w:cs="Calibri"/>
          <w:sz w:val="22"/>
          <w:szCs w:val="22"/>
        </w:rPr>
        <w:t xml:space="preserve">Pittsburgh esophageal perforation severity score 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0-18</w:t>
      </w:r>
      <w:r>
        <w:rPr>
          <w:rFonts w:ascii="微軟正黑體" w:eastAsia="微軟正黑體" w:hAnsi="微軟正黑體" w:cs="Calibri" w:hint="eastAsia"/>
          <w:sz w:val="22"/>
          <w:szCs w:val="22"/>
        </w:rPr>
        <w:t>分</w:t>
      </w:r>
    </w:p>
    <w:p w:rsidR="00215A7B" w:rsidRDefault="00215A7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分數越高，死亡率越高，預後越差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820"/>
        <w:gridCol w:w="798"/>
      </w:tblGrid>
      <w:tr w:rsidR="00000000">
        <w:trPr>
          <w:divId w:val="1123615078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1123615078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&gt;75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1123615078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心搏過速（</w:t>
            </w:r>
            <w:r>
              <w:rPr>
                <w:rFonts w:ascii="Calibri" w:hAnsi="Calibri" w:cs="Calibri"/>
                <w:sz w:val="22"/>
                <w:szCs w:val="22"/>
              </w:rPr>
              <w:t>HR &gt;100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1123615078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白血球過多（</w:t>
            </w:r>
            <w:r>
              <w:rPr>
                <w:rFonts w:ascii="Calibri" w:hAnsi="Calibri" w:cs="Calibri"/>
                <w:sz w:val="22"/>
                <w:szCs w:val="22"/>
              </w:rPr>
              <w:t>leukocytosis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&gt;10,000 /mL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1123615078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胸腔積液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1123615078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發燒（體溫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&gt;38.5°C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123615078"/>
        </w:trPr>
        <w:tc>
          <w:tcPr>
            <w:tcW w:w="6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漏出物擴散（</w:t>
            </w:r>
            <w:r>
              <w:rPr>
                <w:rFonts w:ascii="Calibri" w:hAnsi="Calibri" w:cs="Calibri"/>
                <w:sz w:val="22"/>
                <w:szCs w:val="22"/>
              </w:rPr>
              <w:t>noncontained leak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）（透過鋇劑攝影或電腦斷層顯示）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123615078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呼吸衰竭（呼吸速率</w:t>
            </w:r>
            <w:r>
              <w:rPr>
                <w:rFonts w:ascii="Calibri" w:hAnsi="Calibri" w:cs="Calibri"/>
                <w:sz w:val="22"/>
                <w:szCs w:val="22"/>
              </w:rPr>
              <w:t>RR &gt;30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、氧氣需求增加，或需機械通氣）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123615078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診斷時間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&gt;24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123615078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伴隨癌症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1123615078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低血壓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A7B" w:rsidRDefault="00215A7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</w:tbl>
    <w:p w:rsidR="00215A7B" w:rsidRDefault="00215A7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215A7B" w:rsidRDefault="00215A7B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初步處置</w:t>
      </w:r>
    </w:p>
    <w:p w:rsidR="00215A7B" w:rsidRDefault="00215A7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評估</w:t>
      </w:r>
      <w:r>
        <w:rPr>
          <w:rFonts w:ascii="Calibri" w:hAnsi="Calibri" w:cs="Calibri"/>
          <w:b/>
          <w:bCs/>
          <w:sz w:val="22"/>
          <w:szCs w:val="22"/>
        </w:rPr>
        <w:t xml:space="preserve"> ABCDE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airway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breathing</w:t>
      </w:r>
    </w:p>
    <w:p w:rsidR="00215A7B" w:rsidRDefault="00215A7B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給予氧氣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circulation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disability</w:t>
      </w:r>
    </w:p>
    <w:p w:rsidR="00215A7B" w:rsidRDefault="00215A7B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神經功能評估，</w:t>
      </w:r>
      <w:r>
        <w:rPr>
          <w:rFonts w:ascii="微軟正黑體" w:eastAsia="微軟正黑體" w:hAnsi="微軟正黑體" w:cs="Calibri" w:hint="eastAsia"/>
          <w:sz w:val="22"/>
          <w:szCs w:val="22"/>
        </w:rPr>
        <w:t>評估病人的意識狀態、瞳孔反應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exposure</w:t>
      </w:r>
    </w:p>
    <w:p w:rsidR="00215A7B" w:rsidRDefault="00215A7B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移除誘發物質</w:t>
      </w:r>
    </w:p>
    <w:p w:rsidR="00215A7B" w:rsidRDefault="00215A7B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檢查體溫、觀察皮膚、脫去衣物檢查傷口、評估脊柱或直腸異常</w:t>
      </w:r>
    </w:p>
    <w:p w:rsidR="00215A7B" w:rsidRDefault="00215A7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靜脈輸液（</w:t>
      </w:r>
      <w:r>
        <w:rPr>
          <w:rFonts w:ascii="Calibri" w:hAnsi="Calibri" w:cs="Calibri"/>
          <w:b/>
          <w:bCs/>
          <w:sz w:val="22"/>
          <w:szCs w:val="22"/>
        </w:rPr>
        <w:t>IV fluid resuscitation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禁食（</w:t>
      </w:r>
      <w:r>
        <w:rPr>
          <w:rFonts w:ascii="Calibri" w:hAnsi="Calibri" w:cs="Calibri"/>
          <w:b/>
          <w:bCs/>
          <w:sz w:val="22"/>
          <w:szCs w:val="22"/>
        </w:rPr>
        <w:t>NPO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</w:p>
    <w:p w:rsidR="00215A7B" w:rsidRDefault="00215A7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質子幫浦抑制劑（</w:t>
      </w:r>
      <w:r>
        <w:rPr>
          <w:rFonts w:ascii="Calibri" w:hAnsi="Calibri" w:cs="Calibri"/>
          <w:b/>
          <w:bCs/>
          <w:sz w:val="22"/>
          <w:szCs w:val="22"/>
        </w:rPr>
        <w:t>IV proton pump inhibitor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Pantoprazole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廣效抗生素（</w:t>
      </w:r>
      <w:r>
        <w:rPr>
          <w:rFonts w:ascii="Calibri" w:hAnsi="Calibri" w:cs="Calibri"/>
          <w:b/>
          <w:bCs/>
          <w:sz w:val="22"/>
          <w:szCs w:val="22"/>
        </w:rPr>
        <w:t>Broad-spectrum IV antibiotics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早期給予，所有患者皆需</w:t>
      </w:r>
    </w:p>
    <w:p w:rsidR="00215A7B" w:rsidRDefault="00215A7B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Piperacillin/tazobactam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Meropenem + Vancomycin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止痛、止吐</w:t>
      </w:r>
    </w:p>
    <w:p w:rsidR="00215A7B" w:rsidRDefault="00215A7B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若有黴菌感染風險：加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Fluconazole</w:t>
      </w:r>
    </w:p>
    <w:p w:rsidR="00215A7B" w:rsidRDefault="00215A7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特殊情況</w:t>
      </w:r>
    </w:p>
    <w:p w:rsidR="00215A7B" w:rsidRDefault="00215A7B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氣胸或胸腔積液：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胸管放置</w:t>
      </w:r>
    </w:p>
    <w:p w:rsidR="00215A7B" w:rsidRDefault="00215A7B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靜脈止痛與止吐藥物（</w:t>
      </w:r>
      <w:r>
        <w:rPr>
          <w:rFonts w:ascii="Calibri" w:hAnsi="Calibri" w:cs="Calibri"/>
          <w:b/>
          <w:bCs/>
          <w:sz w:val="22"/>
          <w:szCs w:val="22"/>
        </w:rPr>
        <w:t>Parenteral analgesia and antiemetics as needed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誤食腐蝕性物質（</w:t>
      </w:r>
      <w:r>
        <w:rPr>
          <w:rFonts w:ascii="Calibri" w:hAnsi="Calibri" w:cs="Calibri"/>
          <w:b/>
          <w:bCs/>
          <w:sz w:val="22"/>
          <w:szCs w:val="22"/>
        </w:rPr>
        <w:t>Caustic ingestion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早期插管：若出現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呼吸道受損或阻塞</w:t>
      </w:r>
    </w:p>
    <w:p w:rsidR="00215A7B" w:rsidRDefault="00215A7B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困難氣道（</w:t>
      </w:r>
      <w:r>
        <w:rPr>
          <w:rFonts w:ascii="Calibri" w:hAnsi="Calibri" w:cs="Calibri"/>
          <w:sz w:val="22"/>
          <w:szCs w:val="22"/>
        </w:rPr>
        <w:t>difficult airway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影像喉頭鏡（</w:t>
      </w:r>
      <w:r>
        <w:rPr>
          <w:rFonts w:ascii="Calibri" w:hAnsi="Calibri" w:cs="Calibri"/>
          <w:b/>
          <w:bCs/>
          <w:sz w:val="22"/>
          <w:szCs w:val="22"/>
        </w:rPr>
        <w:t>video laryngoscopy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光纖插管（</w:t>
      </w:r>
      <w:r>
        <w:rPr>
          <w:rFonts w:ascii="Calibri" w:hAnsi="Calibri" w:cs="Calibri"/>
          <w:b/>
          <w:bCs/>
          <w:sz w:val="22"/>
          <w:szCs w:val="22"/>
        </w:rPr>
        <w:t>fiberoptic intubation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必要時執行緊急氣道手術</w:t>
      </w:r>
    </w:p>
    <w:p w:rsidR="00215A7B" w:rsidRDefault="00215A7B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避免進行胃腸道去污（</w:t>
      </w:r>
      <w:r>
        <w:rPr>
          <w:rFonts w:ascii="Calibri" w:hAnsi="Calibri" w:cs="Calibri"/>
          <w:sz w:val="22"/>
          <w:szCs w:val="22"/>
        </w:rPr>
        <w:t>GI decontamination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）或催吐</w:t>
      </w:r>
    </w:p>
    <w:p w:rsidR="00215A7B" w:rsidRDefault="00215A7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禁忌</w:t>
      </w:r>
    </w:p>
    <w:p w:rsidR="00215A7B" w:rsidRDefault="00215A7B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不要盲插鼻胃管：以免進一步傷害食道</w:t>
      </w:r>
    </w:p>
    <w:p w:rsidR="00215A7B" w:rsidRDefault="00215A7B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非手術治療</w:t>
      </w:r>
    </w:p>
    <w:p w:rsidR="00215A7B" w:rsidRDefault="00215A7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穿孔較小、影響範圍較局限</w:t>
      </w:r>
    </w:p>
    <w:p w:rsidR="00215A7B" w:rsidRDefault="00215A7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侷限於頸部、縱膈內、或縱膈與臟層胸膜之間</w:t>
      </w:r>
    </w:p>
    <w:p w:rsidR="00215A7B" w:rsidRDefault="00215A7B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使用顯影劑檢查時，液體可從穿孔周圍回流到食道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穿孔位置：良性（</w:t>
      </w:r>
      <w:r>
        <w:rPr>
          <w:rFonts w:ascii="Calibri" w:hAnsi="Calibri" w:cs="Calibri"/>
          <w:sz w:val="22"/>
          <w:szCs w:val="22"/>
        </w:rPr>
        <w:t>benign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）、腹腔外、阻塞處的遠端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病人生命徵象穩定，沒有敗血症徵象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可隨時追蹤病情，若惡化可以馬上處理</w:t>
      </w:r>
    </w:p>
    <w:p w:rsidR="00215A7B" w:rsidRDefault="00215A7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內視鏡介入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放置食道支架（</w:t>
      </w:r>
      <w:r>
        <w:rPr>
          <w:rFonts w:ascii="Calibri" w:hAnsi="Calibri" w:cs="Calibri"/>
          <w:sz w:val="22"/>
          <w:szCs w:val="22"/>
        </w:rPr>
        <w:t>Esophageal stent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適應症：初期且小型穿孔、污染輕微、位置適合</w:t>
      </w:r>
    </w:p>
    <w:p w:rsidR="00215A7B" w:rsidRDefault="00215A7B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優點：併發症發生率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較低、</w:t>
      </w:r>
      <w:r>
        <w:rPr>
          <w:rFonts w:ascii="微軟正黑體" w:eastAsia="微軟正黑體" w:hAnsi="微軟正黑體" w:cs="Calibri" w:hint="eastAsia"/>
          <w:sz w:val="22"/>
          <w:szCs w:val="22"/>
        </w:rPr>
        <w:t>住院天數較短、費用較低</w:t>
      </w:r>
    </w:p>
    <w:p w:rsidR="00215A7B" w:rsidRDefault="00215A7B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併發症：支架滑脫（</w:t>
      </w:r>
      <w:r>
        <w:rPr>
          <w:rFonts w:ascii="Calibri" w:hAnsi="Calibri" w:cs="Calibri"/>
          <w:sz w:val="22"/>
          <w:szCs w:val="22"/>
        </w:rPr>
        <w:t>stent migration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）、食道狹窄</w:t>
      </w:r>
    </w:p>
    <w:p w:rsidR="00215A7B" w:rsidRDefault="00215A7B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金屬比塑膠支架滑脫率低，但狹窄發生率高</w:t>
      </w:r>
    </w:p>
    <w:p w:rsidR="00215A7B" w:rsidRDefault="00215A7B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內視鏡止血夾（</w:t>
      </w:r>
      <w:r>
        <w:rPr>
          <w:rFonts w:ascii="Calibri" w:hAnsi="Calibri" w:cs="Calibri"/>
          <w:sz w:val="22"/>
          <w:szCs w:val="22"/>
        </w:rPr>
        <w:t>Endoclip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注射纖維蛋白組織膠（</w:t>
      </w:r>
      <w:r>
        <w:rPr>
          <w:rFonts w:ascii="Calibri" w:hAnsi="Calibri" w:cs="Calibri"/>
          <w:sz w:val="22"/>
          <w:szCs w:val="22"/>
        </w:rPr>
        <w:t>Fibrin glue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0"/>
          <w:numId w:val="1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手術治療</w:t>
      </w:r>
    </w:p>
    <w:p w:rsidR="00215A7B" w:rsidRDefault="00215A7B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</w:t>
      </w:r>
    </w:p>
    <w:p w:rsidR="00215A7B" w:rsidRDefault="00215A7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血流動力學不穩</w:t>
      </w:r>
    </w:p>
    <w:p w:rsidR="00215A7B" w:rsidRDefault="00215A7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不符合保守治療條件</w:t>
      </w:r>
    </w:p>
    <w:p w:rsidR="00215A7B" w:rsidRDefault="00215A7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保守治療期間病情惡化</w:t>
      </w:r>
    </w:p>
    <w:p w:rsidR="00215A7B" w:rsidRDefault="00215A7B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術式</w:t>
      </w:r>
    </w:p>
    <w:p w:rsidR="00215A7B" w:rsidRDefault="00215A7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切開肌層（</w:t>
      </w:r>
      <w:r>
        <w:rPr>
          <w:rFonts w:ascii="Calibri" w:hAnsi="Calibri" w:cs="Calibri"/>
          <w:sz w:val="22"/>
          <w:szCs w:val="22"/>
        </w:rPr>
        <w:t>myotomy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）暴露黏膜傷口，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清創壞死組織，並</w:t>
      </w:r>
      <w:r>
        <w:rPr>
          <w:rFonts w:ascii="微軟正黑體" w:eastAsia="微軟正黑體" w:hAnsi="微軟正黑體" w:cs="Calibri" w:hint="eastAsia"/>
          <w:sz w:val="22"/>
          <w:szCs w:val="22"/>
        </w:rPr>
        <w:t>縫合穿孔的區段</w:t>
      </w:r>
    </w:p>
    <w:p w:rsidR="00215A7B" w:rsidRDefault="00215A7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修補方法</w:t>
      </w:r>
    </w:p>
    <w:p w:rsidR="00215A7B" w:rsidRDefault="00215A7B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小、組織健康的傷口：雙層縫合，加上組織瓣覆蓋</w:t>
      </w:r>
      <w:r>
        <w:rPr>
          <w:rFonts w:ascii="微軟正黑體" w:eastAsia="微軟正黑體" w:hAnsi="微軟正黑體" w:cs="Calibri" w:hint="eastAsia"/>
          <w:sz w:val="22"/>
          <w:szCs w:val="22"/>
        </w:rPr>
        <w:t>（肋間肌、心包脂肪、肋膜、網膜）</w:t>
      </w:r>
    </w:p>
    <w:p w:rsidR="00215A7B" w:rsidRDefault="00215A7B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大範圍或壞死：</w:t>
      </w: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-tube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進行</w:t>
      </w:r>
      <w:r>
        <w:rPr>
          <w:rFonts w:ascii="微軟正黑體" w:eastAsia="微軟正黑體" w:hAnsi="微軟正黑體" w:cs="Calibri" w:hint="eastAsia"/>
          <w:sz w:val="22"/>
          <w:szCs w:val="22"/>
        </w:rPr>
        <w:t>可控性瘻管造口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controlled fistulization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若缺損極大、無法修復：食道切除（</w:t>
      </w:r>
      <w:r>
        <w:rPr>
          <w:rFonts w:ascii="Calibri" w:hAnsi="Calibri" w:cs="Calibri"/>
          <w:sz w:val="22"/>
          <w:szCs w:val="22"/>
        </w:rPr>
        <w:t>Esophagectomy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暫時食道分離（</w:t>
      </w:r>
      <w:r>
        <w:rPr>
          <w:rFonts w:ascii="Calibri" w:hAnsi="Calibri" w:cs="Calibri"/>
          <w:b/>
          <w:bCs/>
          <w:sz w:val="22"/>
          <w:szCs w:val="22"/>
        </w:rPr>
        <w:t>esophageal exclusion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頸部的食道造口（</w:t>
      </w:r>
      <w:r>
        <w:rPr>
          <w:rFonts w:ascii="Calibri" w:hAnsi="Calibri" w:cs="Calibri"/>
          <w:b/>
          <w:bCs/>
          <w:sz w:val="22"/>
          <w:szCs w:val="22"/>
        </w:rPr>
        <w:t>esophagostomy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）及胃造口（</w:t>
      </w:r>
      <w:r>
        <w:rPr>
          <w:rFonts w:ascii="Calibri" w:hAnsi="Calibri" w:cs="Calibri"/>
          <w:b/>
          <w:bCs/>
          <w:sz w:val="22"/>
          <w:szCs w:val="22"/>
        </w:rPr>
        <w:t>gastrostomy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後續再進行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食道重建</w:t>
      </w:r>
    </w:p>
    <w:p w:rsidR="00215A7B" w:rsidRDefault="00215A7B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用胃、結腸或小腸代替食道</w:t>
      </w:r>
    </w:p>
    <w:p w:rsidR="00215A7B" w:rsidRDefault="00215A7B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胃、空腸造口</w:t>
      </w:r>
    </w:p>
    <w:p w:rsidR="00215A7B" w:rsidRDefault="00215A7B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減壓、引流，並提供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腸道營養</w:t>
      </w:r>
    </w:p>
    <w:p w:rsidR="00215A7B" w:rsidRDefault="00215A7B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15A7B" w:rsidRDefault="00215A7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215A7B" w:rsidRDefault="00215A7B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縱膈炎（</w:t>
      </w:r>
      <w:r>
        <w:rPr>
          <w:rFonts w:ascii="Calibri" w:hAnsi="Calibri" w:cs="Calibri"/>
          <w:sz w:val="22"/>
          <w:szCs w:val="22"/>
        </w:rPr>
        <w:t>Mediastinitis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腹膜炎（</w:t>
      </w:r>
      <w:r>
        <w:rPr>
          <w:rFonts w:ascii="Calibri" w:hAnsi="Calibri" w:cs="Calibri"/>
          <w:sz w:val="22"/>
          <w:szCs w:val="22"/>
        </w:rPr>
        <w:t>Peritonitis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）：若造成腹腔內穿孔</w:t>
      </w:r>
    </w:p>
    <w:p w:rsidR="00215A7B" w:rsidRDefault="00215A7B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膿胸（</w:t>
      </w:r>
      <w:r>
        <w:rPr>
          <w:rFonts w:ascii="Calibri" w:hAnsi="Calibri" w:cs="Calibri"/>
          <w:sz w:val="22"/>
          <w:szCs w:val="22"/>
        </w:rPr>
        <w:t>Empyema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嚴重敗血症或休克</w:t>
      </w:r>
    </w:p>
    <w:p w:rsidR="00215A7B" w:rsidRDefault="00215A7B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多重器官衰竭</w:t>
      </w:r>
    </w:p>
    <w:p w:rsidR="00215A7B" w:rsidRDefault="00215A7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預後</w:t>
      </w:r>
    </w:p>
    <w:p w:rsidR="00215A7B" w:rsidRDefault="00215A7B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死亡率：</w:t>
      </w:r>
      <w:r>
        <w:rPr>
          <w:rFonts w:ascii="Calibri" w:hAnsi="Calibri" w:cs="Calibri"/>
          <w:sz w:val="22"/>
          <w:szCs w:val="22"/>
        </w:rPr>
        <w:t>10-50%</w:t>
      </w:r>
    </w:p>
    <w:p w:rsidR="00215A7B" w:rsidRDefault="00215A7B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在事件發生後</w:t>
      </w:r>
      <w:r>
        <w:rPr>
          <w:rFonts w:ascii="Calibri" w:hAnsi="Calibri" w:cs="Calibri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小時內介入，預後較佳</w:t>
      </w:r>
    </w:p>
    <w:p w:rsidR="00215A7B" w:rsidRDefault="00215A7B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與癌症有關的穿孔則預後較差</w:t>
      </w:r>
    </w:p>
    <w:p w:rsidR="00215A7B" w:rsidRDefault="00215A7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15A7B" w:rsidRDefault="00215A7B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15A7B" w:rsidRDefault="00215A7B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個論：自發性破裂（</w:t>
      </w:r>
      <w:r>
        <w:rPr>
          <w:rFonts w:ascii="Calibri" w:hAnsi="Calibri" w:cs="Calibri"/>
          <w:color w:val="1E4E79"/>
          <w:sz w:val="32"/>
          <w:szCs w:val="32"/>
        </w:rPr>
        <w:t>Spontaneous rupture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215A7B" w:rsidRDefault="00215A7B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>Boerhaave syndrome</w:t>
      </w:r>
    </w:p>
    <w:p w:rsidR="00215A7B" w:rsidRDefault="00215A7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食道全層破裂（</w:t>
      </w:r>
      <w:r>
        <w:rPr>
          <w:rFonts w:ascii="Calibri" w:hAnsi="Calibri" w:cs="Calibri"/>
          <w:b/>
          <w:bCs/>
          <w:sz w:val="22"/>
          <w:szCs w:val="22"/>
        </w:rPr>
        <w:t>transmural rupture of the esophagus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病生理：劇烈嘔吐、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胸腔內壓升高（</w:t>
      </w:r>
      <w:r>
        <w:rPr>
          <w:rFonts w:ascii="Calibri" w:hAnsi="Calibri" w:cs="Calibri"/>
          <w:b/>
          <w:bCs/>
          <w:sz w:val="22"/>
          <w:szCs w:val="22"/>
        </w:rPr>
        <w:t>increased intrathoracic pressure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超過</w:t>
      </w:r>
      <w:r>
        <w:rPr>
          <w:rFonts w:ascii="Calibri" w:hAnsi="Calibri" w:cs="Calibri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的破裂發生於食道遠端三分之一處的左背外側壁（</w:t>
      </w:r>
      <w:r>
        <w:rPr>
          <w:rFonts w:ascii="Calibri" w:hAnsi="Calibri" w:cs="Calibri"/>
          <w:sz w:val="22"/>
          <w:szCs w:val="22"/>
        </w:rPr>
        <w:t>left dorsolateral wall surface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15A7B" w:rsidRDefault="00215A7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誘發因子</w:t>
      </w:r>
    </w:p>
    <w:p w:rsidR="00215A7B" w:rsidRDefault="00215A7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大量飲酒或大量進食後</w:t>
      </w:r>
    </w:p>
    <w:p w:rsidR="00215A7B" w:rsidRDefault="00215A7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反覆嘔吐</w:t>
      </w:r>
    </w:p>
    <w:p w:rsidR="00215A7B" w:rsidRDefault="00215A7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引起胸壓升高的情況</w:t>
      </w:r>
    </w:p>
    <w:p w:rsidR="00215A7B" w:rsidRDefault="00215A7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</w:t>
      </w:r>
    </w:p>
    <w:p w:rsidR="00215A7B" w:rsidRDefault="00215A7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癲癇（</w:t>
      </w:r>
      <w:r>
        <w:rPr>
          <w:rFonts w:ascii="Calibri" w:hAnsi="Calibri" w:cs="Calibri"/>
          <w:b/>
          <w:bCs/>
          <w:sz w:val="22"/>
          <w:szCs w:val="22"/>
        </w:rPr>
        <w:t>seizure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長時間咳嗽</w:t>
      </w:r>
    </w:p>
    <w:p w:rsidR="00215A7B" w:rsidRDefault="00215A7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重訓</w:t>
      </w:r>
    </w:p>
    <w:p w:rsidR="00215A7B" w:rsidRDefault="00215A7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臨床特徵</w:t>
      </w:r>
    </w:p>
    <w:p w:rsidR="00215A7B" w:rsidRDefault="00215A7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劇烈的胸骨後疼痛</w:t>
      </w:r>
    </w:p>
    <w:p w:rsidR="00215A7B" w:rsidRDefault="00215A7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縱膈氣腫（</w:t>
      </w:r>
      <w:r>
        <w:rPr>
          <w:rFonts w:ascii="Calibri" w:hAnsi="Calibri" w:cs="Calibri"/>
          <w:b/>
          <w:bCs/>
          <w:sz w:val="22"/>
          <w:szCs w:val="22"/>
        </w:rPr>
        <w:t>mediastinal emphysema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15A7B" w:rsidRDefault="00215A7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215A7B" w:rsidRDefault="00215A7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sz w:val="22"/>
          <w:szCs w:val="22"/>
        </w:rPr>
        <w:t>光</w:t>
      </w:r>
    </w:p>
    <w:p w:rsidR="00215A7B" w:rsidRDefault="00215A7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鋇劑食道攝影、食道電腦斷層：</w:t>
      </w:r>
      <w:r>
        <w:rPr>
          <w:rFonts w:ascii="微軟正黑體" w:eastAsia="微軟正黑體" w:hAnsi="微軟正黑體" w:cs="Calibri" w:hint="eastAsia"/>
          <w:sz w:val="22"/>
          <w:szCs w:val="22"/>
        </w:rPr>
        <w:t>確診</w:t>
      </w:r>
    </w:p>
    <w:p w:rsidR="00215A7B" w:rsidRDefault="00215A7B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215A7B" w:rsidRDefault="00215A7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手術修補：大部分</w:t>
      </w:r>
    </w:p>
    <w:p w:rsidR="00215A7B" w:rsidRDefault="00215A7B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保守治療</w:t>
      </w:r>
    </w:p>
    <w:p w:rsidR="00215A7B" w:rsidRDefault="00215A7B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適應症：穿孔較小、病人情況穩定</w:t>
      </w:r>
    </w:p>
    <w:p w:rsidR="00215A7B" w:rsidRDefault="00215A7B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15A7B" w:rsidRDefault="00215A7B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15A7B" w:rsidRDefault="00215A7B">
      <w:pPr>
        <w:pStyle w:val="Web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5A7B" w:rsidRDefault="00215A7B" w:rsidP="00215A7B">
      <w:r>
        <w:separator/>
      </w:r>
    </w:p>
  </w:endnote>
  <w:endnote w:type="continuationSeparator" w:id="0">
    <w:p w:rsidR="00215A7B" w:rsidRDefault="00215A7B" w:rsidP="00215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5A7B" w:rsidRDefault="00215A7B" w:rsidP="00215A7B">
      <w:r>
        <w:separator/>
      </w:r>
    </w:p>
  </w:footnote>
  <w:footnote w:type="continuationSeparator" w:id="0">
    <w:p w:rsidR="00215A7B" w:rsidRDefault="00215A7B" w:rsidP="00215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880"/>
    <w:multiLevelType w:val="multilevel"/>
    <w:tmpl w:val="BBCC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E335A3"/>
    <w:multiLevelType w:val="multilevel"/>
    <w:tmpl w:val="CE8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0A683C"/>
    <w:multiLevelType w:val="multilevel"/>
    <w:tmpl w:val="35A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0829A8"/>
    <w:multiLevelType w:val="multilevel"/>
    <w:tmpl w:val="912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7202BB"/>
    <w:multiLevelType w:val="multilevel"/>
    <w:tmpl w:val="C92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CC6A19"/>
    <w:multiLevelType w:val="multilevel"/>
    <w:tmpl w:val="4634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4F79FB"/>
    <w:multiLevelType w:val="multilevel"/>
    <w:tmpl w:val="DC3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C73D52"/>
    <w:multiLevelType w:val="multilevel"/>
    <w:tmpl w:val="4B9A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200BD5"/>
    <w:multiLevelType w:val="multilevel"/>
    <w:tmpl w:val="4B0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8090719">
    <w:abstractNumId w:val="5"/>
  </w:num>
  <w:num w:numId="2" w16cid:durableId="1440489699">
    <w:abstractNumId w:val="8"/>
  </w:num>
  <w:num w:numId="3" w16cid:durableId="477496924">
    <w:abstractNumId w:val="7"/>
  </w:num>
  <w:num w:numId="4" w16cid:durableId="379524640">
    <w:abstractNumId w:val="4"/>
  </w:num>
  <w:num w:numId="5" w16cid:durableId="1156602930">
    <w:abstractNumId w:val="2"/>
  </w:num>
  <w:num w:numId="6" w16cid:durableId="835921719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874343353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495534784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9" w16cid:durableId="1937664427">
    <w:abstractNumId w:val="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677512041">
    <w:abstractNumId w:val="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1107888781">
    <w:abstractNumId w:val="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400180697">
    <w:abstractNumId w:val="3"/>
  </w:num>
  <w:num w:numId="13" w16cid:durableId="386803600">
    <w:abstractNumId w:val="6"/>
  </w:num>
  <w:num w:numId="14" w16cid:durableId="364211994">
    <w:abstractNumId w:val="0"/>
  </w:num>
  <w:num w:numId="15" w16cid:durableId="1708797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7B"/>
    <w:rsid w:val="00215A7B"/>
    <w:rsid w:val="002B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04D95C-F94B-4529-BDF7-EA5E4A80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215A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15A7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15A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15A7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615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