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</w:t>
      </w:r>
    </w:p>
    <w:p w:rsidR="00994BB3" w:rsidRDefault="00994BB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94BB3" w:rsidRDefault="00994B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11:56</w:t>
      </w:r>
    </w:p>
    <w:p w:rsidR="00994BB3" w:rsidRDefault="00994B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高血壓、大動脈疾病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急性嚴重的高血壓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severe HTN)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[</w:t>
      </w:r>
      <w:r>
        <w:rPr>
          <w:rFonts w:ascii="微軟正黑體" w:eastAsia="微軟正黑體" w:hAnsi="微軟正黑體" w:cs="Calibri" w:hint="eastAsia"/>
          <w:sz w:val="22"/>
          <w:szCs w:val="22"/>
        </w:rPr>
        <w:t>婦產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動脈瘤、急性動脈症候群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7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[CVS]</w:t>
        </w:r>
      </w:hyperlink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高血脂、動脈粥狀硬化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脂質代謝、脂蛋白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高血脂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(Hyperlipidemia)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動脈粥狀硬化之病生理變化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缺血性心臟病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背景知識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分類：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of MI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慢性穩定型心絞痛</w:t>
      </w:r>
      <w:r>
        <w:rPr>
          <w:rFonts w:ascii="微軟正黑體" w:eastAsia="微軟正黑體" w:hAnsi="微軟正黑體" w:cs="Calibri" w:hint="eastAsia"/>
          <w:sz w:val="22"/>
          <w:szCs w:val="22"/>
        </w:rPr>
        <w:t>(Chronic stable angina)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急性冠心症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coronary syndrome)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Unstable angina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NSTEMI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STEMI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Variant angina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心肌酵素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功能影像：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運動心電圖</w:t>
      </w:r>
      <w:r>
        <w:rPr>
          <w:rFonts w:ascii="微軟正黑體" w:eastAsia="微軟正黑體" w:hAnsi="微軟正黑體" w:cs="Calibri" w:hint="eastAsia"/>
          <w:sz w:val="22"/>
          <w:szCs w:val="22"/>
        </w:rPr>
        <w:t>(Treadmill exercise test)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心肌灌注掃描</w:t>
      </w:r>
      <w:r>
        <w:rPr>
          <w:rFonts w:ascii="微軟正黑體" w:eastAsia="微軟正黑體" w:hAnsi="微軟正黑體" w:cs="Calibri" w:hint="eastAsia"/>
          <w:sz w:val="22"/>
          <w:szCs w:val="22"/>
        </w:rPr>
        <w:t>(Myocardial Perfusion Image, MPI)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電腦斷層鈣化指數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SCORE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TIMI</w:t>
      </w:r>
    </w:p>
    <w:p w:rsidR="00994BB3" w:rsidRDefault="00994B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GRACE score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CCS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ACS[ACLS]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Post MI complication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心電圖判讀、心律不整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細胞電生理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心電圖判讀原則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心搏過緩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心搏過速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Conduction block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(Arrhythmia)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瓣膜性心臟病</w:t>
      </w:r>
      <w:hyperlink r:id="rId8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心音特徵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動脈壓脈搏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(Arterial pressure pulse)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中心靜脈壓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頸靜脈波形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四種瓣膜疾病考試重點整理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stenosis, MS)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regurgitation, MR)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stenosis, AS)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regurgitation, AR)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細菌性心內膜炎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心肌症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擴張性心肌病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(Dilated cardiomyopathy, DCM)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cardiomyopathy, HCM)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侷限性心肌病</w:t>
      </w:r>
      <w:r>
        <w:rPr>
          <w:rFonts w:ascii="微軟正黑體" w:eastAsia="微軟正黑體" w:hAnsi="微軟正黑體" w:cs="Calibri" w:hint="eastAsia"/>
          <w:sz w:val="22"/>
          <w:szCs w:val="22"/>
        </w:rPr>
        <w:t>(Restrictive cardiomyopathy, RCM)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心包疾病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pericarditis)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心包填塞</w:t>
      </w:r>
      <w:r>
        <w:rPr>
          <w:rFonts w:ascii="微軟正黑體" w:eastAsia="微軟正黑體" w:hAnsi="微軟正黑體" w:cs="Calibri" w:hint="eastAsia"/>
          <w:sz w:val="22"/>
          <w:szCs w:val="22"/>
        </w:rPr>
        <w:t>(Pericardial tamponade)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侷限性心包膜炎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(Constrictive pericarditis)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心臟衰竭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暈厥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肺血管栓塞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CHEST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胸腔科基本知識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症狀學的鑑別診斷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</w:rPr>
        <w:t>(Cyanosis)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肺功能檢查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光判讀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(Hypoxemia)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氣喘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慢性阻塞性肺疾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(COPD)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間質性肺疾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(ILD)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(Pneumoina, Bronchiectasis)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黴菌感染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Ventilator)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氧氣治療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非侵入性呼吸器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侵入性呼吸器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呼吸器之基本設定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脫離呼吸器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呼吸衰竭、急性呼吸窘迫症候群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(ARDS)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肋膜液檢查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肋膜積水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睡眠呼吸停止症候群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阻塞性、中樞性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肺癌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complaint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呑嚥困難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LAB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判讀相關：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腹水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腸胃道出血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胃、十二指腸潰瘍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(IBS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IBD)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肝：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急性肝損傷、急性肝衰竭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肝炎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病毒性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酒精性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毒素、藥物性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NAFLD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MAFLD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肝硬化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肝腫瘤、肝癌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肝臟一其他</w:t>
      </w:r>
      <w:r>
        <w:rPr>
          <w:rFonts w:ascii="微軟正黑體" w:eastAsia="微軟正黑體" w:hAnsi="微軟正黑體" w:cs="Calibri" w:hint="eastAsia"/>
          <w:sz w:val="22"/>
          <w:szCs w:val="22"/>
        </w:rPr>
        <w:t>(Budd-Chiari syndrome)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膽囊疾病、胰臟疾病</w:t>
      </w:r>
      <w:hyperlink r:id="rId10" w:anchor="外科&amp;section-id={3DCF7DF0-1434-4FA1-852D-65472B53D59C}&amp;page-id={FF1545DF-4AA7-4C5A-A501-7489C17562A8}&amp;object-id={2402BB6F-5DE8-43F1-928B-6DDA52B5799A}&amp;6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[GS]</w:t>
        </w:r>
      </w:hyperlink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NEPHRO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水腫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酸鹼平衡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觀念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診斷流程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代謝性酸中毒臨床狀況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代謝性酸中毒流程圖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代謝鹼中毒臨床狀況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臨床實力演練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離子平衡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高低血鈉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高低血鉀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</w:p>
    <w:p w:rsidR="00994BB3" w:rsidRDefault="00994B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sz w:val="22"/>
          <w:szCs w:val="22"/>
        </w:rPr>
        <w:t>生理、疾病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高低血鎂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急性腎損傷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腎臟疾病各論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(nephrotic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neprhitic syndrome)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(Glomerular disease)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(Tubular disease)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腎間質疾病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(Interstitial disease)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慢性腎臟病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急性腎衰竭和慢性腎衰竭的鑑別診斷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分級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sz w:val="22"/>
          <w:szCs w:val="22"/>
        </w:rPr>
        <w:t>病因分類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尿毒症毒素</w:t>
      </w:r>
      <w:r>
        <w:rPr>
          <w:rFonts w:ascii="微軟正黑體" w:eastAsia="微軟正黑體" w:hAnsi="微軟正黑體" w:cs="Calibri" w:hint="eastAsia"/>
          <w:sz w:val="22"/>
          <w:szCs w:val="22"/>
        </w:rPr>
        <w:t>(Uremic toxin)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慢性腎衰竭的治療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減慢慢性腎衰竭的惡化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何時開始使用透析治療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透析治療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透析的選擇因素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(Hemodialysis, HD)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腹膜透析</w:t>
      </w:r>
      <w:r>
        <w:rPr>
          <w:rFonts w:ascii="微軟正黑體" w:eastAsia="微軟正黑體" w:hAnsi="微軟正黑體" w:cs="Calibri" w:hint="eastAsia"/>
          <w:sz w:val="22"/>
          <w:szCs w:val="22"/>
        </w:rPr>
        <w:t>(Peritoneal dialysis, PD)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多囊性腎病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腎臟移植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[URO]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META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代謝症候群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(Metabolic syndrome)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腦垂體疾病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甲狀腺疾病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甲狀腺相關激素生理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Glucocorticoid</w:t>
      </w:r>
      <w:r>
        <w:rPr>
          <w:rFonts w:ascii="微軟正黑體" w:eastAsia="微軟正黑體" w:hAnsi="微軟正黑體" w:cs="Calibri" w:hint="eastAsia"/>
          <w:sz w:val="22"/>
          <w:szCs w:val="22"/>
        </w:rPr>
        <w:t>生化、生理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CAH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syndrome/disease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Adrenal insufficiency/crisis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腎上腺腫瘤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糖尿病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糖尿病致病機轉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八大惡兆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糖尿病前期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糖尿病的分類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成年人治療目標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住院病患的血糖控制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糖尿病藥物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糖尿病急性併發症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(HHS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DKA)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糖尿病慢性併發症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(Macrovascular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Microvascular)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懷孕與糖尿病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高尿酸血症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副甲狀腺與鈣離子平衡</w:t>
      </w:r>
      <w:hyperlink r:id="rId11" w:anchor="內科&amp;section-id={3DCF7DF0-1434-4FA1-852D-65472B53D59C}&amp;page-id={51DAA190-9362-490B-ABA5-DD4CE189AFE6}&amp;object-id={4123B16F-F333-46AA-B8B6-B746F42701F6}&amp;F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[Nephro]</w:t>
        </w:r>
      </w:hyperlink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1(</w:t>
      </w:r>
      <w:r>
        <w:rPr>
          <w:rFonts w:ascii="微軟正黑體" w:eastAsia="微軟正黑體" w:hAnsi="微軟正黑體" w:cs="Calibri" w:hint="eastAsia"/>
          <w:sz w:val="22"/>
          <w:szCs w:val="22"/>
        </w:rPr>
        <w:t>激素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鈣離子平衡</w:t>
      </w:r>
      <w:r>
        <w:rPr>
          <w:rFonts w:ascii="微軟正黑體" w:eastAsia="微軟正黑體" w:hAnsi="微軟正黑體" w:cs="Calibri" w:hint="eastAsia"/>
          <w:sz w:val="22"/>
          <w:szCs w:val="22"/>
        </w:rPr>
        <w:t>2(</w:t>
      </w:r>
      <w:r>
        <w:rPr>
          <w:rFonts w:ascii="微軟正黑體" w:eastAsia="微軟正黑體" w:hAnsi="微軟正黑體" w:cs="Calibri" w:hint="eastAsia"/>
          <w:sz w:val="22"/>
          <w:szCs w:val="22"/>
        </w:rPr>
        <w:t>高低血鈣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維他命</w:t>
      </w:r>
      <w:r>
        <w:rPr>
          <w:rFonts w:ascii="微軟正黑體" w:eastAsia="微軟正黑體" w:hAnsi="微軟正黑體" w:cs="Calibri" w:hint="eastAsia"/>
          <w:sz w:val="22"/>
          <w:szCs w:val="22"/>
        </w:rPr>
        <w:t>D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(osteomalacia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Ricket)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脂肪代謝異常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性腺疾病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神經內分泌腫瘤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(Neuroendocrine tumor)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Infection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(Bacterial meningitis)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(Streptococcus </w:t>
      </w:r>
      <w:r>
        <w:rPr>
          <w:rFonts w:ascii="微軟正黑體" w:eastAsia="微軟正黑體" w:hAnsi="微軟正黑體" w:cs="Calibri" w:hint="eastAsia"/>
          <w:sz w:val="22"/>
          <w:szCs w:val="22"/>
        </w:rPr>
        <w:t>sp.)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腦膜炎雙球菌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(meningitidis)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軟組織感染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腸胃道感染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依細菌分類的感染症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革蘭氏陽性球菌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革蘭氏陽性桿菌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革蘭氏陰性球菌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革蘭氏陰性桿菌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革蘭氏陰性螺旋菌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革蘭氏陰性絕對胞內寄生菌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立克次體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細菌抗生素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抑制細胞壁製造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抑制蛋白質生成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破壞細胞膜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抑制核酸複製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細菌性抗生素其他重點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厭氧菌抗生素整理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抗生素選擇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病毒學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(NakedDNAViruses)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腸胃道感染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蟲媒病毒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(Arbovirus)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導致呼吸道疾病的病毒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RNA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人畜共通疾病的病毒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抗病毒藥物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(Antiviral Agents)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愛滋病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黴菌學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原蟲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變形蟲綱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孢子蟲綱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鞭毛蟲綱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法定傳染病通報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RHEUMA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紅斑性狼瘡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其他結締組織病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抗核抗體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(Anti-nuclear antibody, ANA)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修格蘭氏症候群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(Sjögren's syndrome, SS)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scleroderma, SSc)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(Dermatomyositis/Polymyositis, DM/PM)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混合結締組織病</w:t>
      </w:r>
      <w:r>
        <w:rPr>
          <w:rFonts w:ascii="微軟正黑體" w:eastAsia="微軟正黑體" w:hAnsi="微軟正黑體" w:cs="Calibri" w:hint="eastAsia"/>
          <w:sz w:val="22"/>
          <w:szCs w:val="22"/>
        </w:rPr>
        <w:t>(Mixed connective tissue disease, MCTD)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血管炎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血清陰性脊椎關節病變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關節炎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鑑別診斷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退化性關節炎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(Osteoarthritis, OA)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痛風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(Gouty arthritis, GA)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沉積病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(Calcium pyrophosphate dihydrate, CPPD)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感染性關節炎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(Septic arthritis)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類風濕性關節炎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過敏疾病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(Hypersensitivity)</w:t>
      </w:r>
      <w:r>
        <w:rPr>
          <w:rFonts w:ascii="微軟正黑體" w:eastAsia="微軟正黑體" w:hAnsi="微軟正黑體" w:cs="Calibri" w:hint="eastAsia"/>
          <w:sz w:val="22"/>
          <w:szCs w:val="22"/>
        </w:rPr>
        <w:t>的定義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全身性過敏反應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(Systemic anaphylaxis)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Urticaria and angioedema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過敏性鼻炎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(Allergic rhinitis)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自體免疫疾病統整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免疫學觀念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補體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抗原呈現細胞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(APC)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>Tcell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免疫球蛋白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結節病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(Sarcoidosis)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HEMA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血液相關檢查判讀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貧血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臨床診斷導向分類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sz w:val="22"/>
          <w:szCs w:val="22"/>
        </w:rPr>
        <w:t>Reticulocyte Production Index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(Microcytic anemia)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大球性貧血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(Macrocytic anemia)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全血球減少症</w:t>
      </w:r>
      <w:r>
        <w:rPr>
          <w:rFonts w:ascii="微軟正黑體" w:eastAsia="微軟正黑體" w:hAnsi="微軟正黑體" w:cs="Calibri" w:hint="eastAsia"/>
          <w:sz w:val="22"/>
          <w:szCs w:val="22"/>
        </w:rPr>
        <w:t>(Pancytopenia)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凝血異常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Primary hemostasis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Prmary hemostasis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 hemostasis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血栓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急性白血病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依染色、表面抗原鑑別診斷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基因轉位整理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血液抹片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急性骨髓細胞白血病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急性淋巴細胞白血病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前骨髓細胞白血病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慢性骨髓性增生性疾病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Chronic </w:t>
      </w:r>
      <w:r>
        <w:rPr>
          <w:rFonts w:ascii="微軟正黑體" w:eastAsia="微軟正黑體" w:hAnsi="微軟正黑體" w:cs="Calibri" w:hint="eastAsia"/>
          <w:sz w:val="22"/>
          <w:szCs w:val="22"/>
        </w:rPr>
        <w:t>myelogenous leukemia(CML)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Polycythemia vera(PV)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Essential thrombocytothemia(ET)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淋巴瘤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漿細胞疾病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輸血</w:t>
      </w:r>
    </w:p>
    <w:p w:rsidR="00994BB3" w:rsidRDefault="00994BB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ONCO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腫瘤特徵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marker)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(Stain)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病毒感染與腫瘤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(Infection vs Cancer)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化學治療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Cell cycle non-specific(CCNS)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 phase(Antimetabolite)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G2 phase(Topoisomerase inhibitors</w:t>
      </w:r>
      <w:r>
        <w:rPr>
          <w:rFonts w:ascii="微軟正黑體" w:eastAsia="微軟正黑體" w:hAnsi="微軟正黑體" w:cs="Calibri" w:hint="eastAsia"/>
          <w:sz w:val="22"/>
          <w:szCs w:val="22"/>
        </w:rPr>
        <w:t>、拓樸異構酶抑制劑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 phase(Mitotic spindle inhibitors)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G1 phase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整理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腫瘤對化療藥物的敏感性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化療藥物副作用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腫瘤各論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頭頸癌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cancer)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anchor="🍖GS|胃&amp;section-id={BC9E9AED-B5B5-4309-97AF-D04A7DB9E34C}&amp;page-id={B9B7AADF-6AAE-441E-9115-88F8FF9E4F5A}&amp;object-id={B2638375-00EF-46F7-8501-F0482FE3C111}&amp;C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胃癌</w:t>
        </w:r>
      </w:hyperlink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anchor="CVS|食道癌&amp;section-id={BC9E9AED-B5B5-4309-97AF-D04A7DB9E34C}&amp;page-id={88ABA582-25FA-4BB9-96BC-A94F2A448DE0}&amp;end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食道癌</w:t>
        </w:r>
      </w:hyperlink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(Colorectal cancer)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婦癌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子宮頸癌、子宮內膜癌、卵巢癌、陰道癌、外陰癌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腎臟癌、泌尿道上皮癌、膀胱癌、攝護腺癌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Thyroid/parathyroid/pituitary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腦瘤、脊椎腫瘤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(Sarcoma)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(Carcinoid)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腫瘤旁症候群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(paraneoplastic syndrome)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腫瘤急症</w:t>
      </w:r>
    </w:p>
    <w:p w:rsidR="00994BB3" w:rsidRDefault="00994B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家醫科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家庭醫業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家戶型態與家庭評估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以病人為中心的全人健康照護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行為科學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建立良好醫病溝通的技巧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醫病溝通的形式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跨越理論模式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PRECEDE-PROCEED</w:t>
      </w:r>
      <w:r>
        <w:rPr>
          <w:rFonts w:ascii="微軟正黑體" w:eastAsia="微軟正黑體" w:hAnsi="微軟正黑體" w:cs="Calibri" w:hint="eastAsia"/>
          <w:sz w:val="22"/>
          <w:szCs w:val="22"/>
        </w:rPr>
        <w:t>模式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社區取向的基層醫療保健</w:t>
      </w:r>
      <w:r>
        <w:rPr>
          <w:rFonts w:ascii="微軟正黑體" w:eastAsia="微軟正黑體" w:hAnsi="微軟正黑體" w:cs="Calibri" w:hint="eastAsia"/>
          <w:sz w:val="22"/>
          <w:szCs w:val="22"/>
        </w:rPr>
        <w:t>(COPC)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渥太華健康促進宣言與醫師憲章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社區醫學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社區體系的追求目標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青少年醫學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職業醫學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肥胖症與代謝症候群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生活型態改變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(S-ABCDE)</w:t>
      </w:r>
      <w:r>
        <w:rPr>
          <w:rFonts w:ascii="微軟正黑體" w:eastAsia="微軟正黑體" w:hAnsi="微軟正黑體" w:cs="Calibri" w:hint="eastAsia"/>
          <w:sz w:val="22"/>
          <w:szCs w:val="22"/>
        </w:rPr>
        <w:t>對於血的影響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預防醫學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疾病的三段五級預防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週期性健康檢查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旅遊醫學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婦幼保健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緩和醫療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緩和醫療的倫理原則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安寧緩和醫療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不施行心肺復甦術</w:t>
      </w:r>
      <w:r>
        <w:rPr>
          <w:rFonts w:ascii="微軟正黑體" w:eastAsia="微軟正黑體" w:hAnsi="微軟正黑體" w:cs="Calibri" w:hint="eastAsia"/>
          <w:sz w:val="22"/>
          <w:szCs w:val="22"/>
        </w:rPr>
        <w:t>(DNR)</w:t>
      </w:r>
    </w:p>
    <w:p w:rsidR="00994BB3" w:rsidRDefault="00994B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特定議題</w:t>
      </w:r>
    </w:p>
    <w:p w:rsidR="00994BB3" w:rsidRDefault="00994B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基層醫療常見疾病：憂鬱症、恐慌症、低落性情感疾患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(LAB</w:t>
      </w:r>
      <w:r>
        <w:rPr>
          <w:rFonts w:ascii="微軟正黑體" w:eastAsia="微軟正黑體" w:hAnsi="微軟正黑體" w:cs="Calibri" w:hint="eastAsia"/>
          <w:sz w:val="22"/>
          <w:szCs w:val="22"/>
        </w:rPr>
        <w:t>、影像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特殊量表、</w:t>
      </w:r>
      <w:r>
        <w:rPr>
          <w:rFonts w:ascii="微軟正黑體" w:eastAsia="微軟正黑體" w:hAnsi="微軟正黑體" w:cs="Calibri" w:hint="eastAsia"/>
          <w:sz w:val="22"/>
          <w:szCs w:val="22"/>
        </w:rPr>
        <w:t>score)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</w:t>
      </w:r>
    </w:p>
    <w:p w:rsidR="00994BB3" w:rsidRDefault="00994B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BB3" w:rsidRDefault="00994BB3" w:rsidP="00994BB3">
      <w:r>
        <w:separator/>
      </w:r>
    </w:p>
  </w:endnote>
  <w:endnote w:type="continuationSeparator" w:id="0">
    <w:p w:rsidR="00994BB3" w:rsidRDefault="00994BB3" w:rsidP="0099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BB3" w:rsidRDefault="00994BB3" w:rsidP="00994BB3">
      <w:r>
        <w:separator/>
      </w:r>
    </w:p>
  </w:footnote>
  <w:footnote w:type="continuationSeparator" w:id="0">
    <w:p w:rsidR="00994BB3" w:rsidRDefault="00994BB3" w:rsidP="00994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68C2"/>
    <w:multiLevelType w:val="multilevel"/>
    <w:tmpl w:val="10D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93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B3"/>
    <w:rsid w:val="00994BB3"/>
    <w:rsid w:val="00E1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60684E-ECA5-4DF3-8AE7-0C5AE284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94B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94BB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94B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94B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&#22806;&#31185;.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2025-07-27T10:01:00Z</dcterms:created>
  <dcterms:modified xsi:type="dcterms:W3CDTF">2025-07-27T10:01:00Z</dcterms:modified>
</cp:coreProperties>
</file>