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0C3" w:rsidRDefault="00F210C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兒童發展、疫苗</w:t>
      </w:r>
    </w:p>
    <w:p w:rsidR="00F210C3" w:rsidRDefault="00F210C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210C3" w:rsidRDefault="00F210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兒童疫苗概論</w:t>
      </w:r>
      <w:r>
        <w:rPr>
          <w:rFonts w:ascii="Calibri" w:hAnsi="Calibri" w:cs="Calibri"/>
          <w:sz w:val="32"/>
          <w:szCs w:val="32"/>
        </w:rPr>
        <w:t>: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台灣疫苗接踵紀錄表</w:t>
      </w:r>
      <w:r>
        <w:rPr>
          <w:rFonts w:ascii="Calibri" w:hAnsi="Calibri" w:cs="Calibri"/>
          <w:sz w:val="28"/>
          <w:szCs w:val="28"/>
        </w:rPr>
        <w:t>: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7467600" cy="2847975"/>
            <wp:effectExtent l="0" t="0" r="0" b="9525"/>
            <wp:docPr id="1" name="圖片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疫苗接種：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與外在病原體暴露有關，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應依出生後年紀來計算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無論是否早產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生長發育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矯正年齡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作爲參考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時程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 1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HBV2 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1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1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2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BCG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HBV3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流感開打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PCV13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MMR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Varicella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 1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1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HAV2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27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2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2025/1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18.27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肝疫苗第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劑常發生接種間隔不足之誤失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DTaP-Hib-IPV</w:t>
      </w:r>
      <w:r>
        <w:rPr>
          <w:rFonts w:ascii="微軟正黑體" w:eastAsia="微軟正黑體" w:hAnsi="微軟正黑體" w:cs="Calibri" w:hint="eastAsia"/>
          <w:sz w:val="22"/>
          <w:szCs w:val="22"/>
        </w:rPr>
        <w:t>：五合一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白喉、破傷風、百日咳、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型嗜血桿菌、不活化小兒痲痺</w:t>
      </w:r>
      <w:r>
        <w:rPr>
          <w:rFonts w:ascii="Calibri" w:hAnsi="Calibri" w:cs="Calibri"/>
          <w:sz w:val="22"/>
          <w:szCs w:val="22"/>
        </w:rPr>
        <w:t>: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2.4.6.18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孕婦：百日咳疫苗建議於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週至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週施打，可以提升胎兒出生後對於百日咳的免疫力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疫苗個論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活性減毒疫苗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不可施打的情況：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肌肉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HBV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IG 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個月內輸過血或接受靜脈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(washed RBC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除外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2 g/kg(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個月內使用超過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mg/kg/day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prednisone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個月內，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10 kg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以上的孩童用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 mg/day prednisone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以上，且使用超過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星期</w:t>
      </w:r>
    </w:p>
    <w:p w:rsidR="00F210C3" w:rsidRDefault="00F210C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210C3" w:rsidRDefault="00F210C3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JR MV BOY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J=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sz w:val="22"/>
          <w:szCs w:val="22"/>
        </w:rPr>
        <w:t>＝輪狀病毒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M=MMR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sz w:val="22"/>
          <w:szCs w:val="22"/>
        </w:rPr>
        <w:t>＝水痘</w:t>
      </w:r>
      <w:r>
        <w:rPr>
          <w:rFonts w:ascii="微軟正黑體" w:eastAsia="微軟正黑體" w:hAnsi="微軟正黑體" w:cs="Calibri" w:hint="eastAsia"/>
          <w:sz w:val="22"/>
          <w:szCs w:val="22"/>
        </w:rPr>
        <w:t>(varicella)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B=BCG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O=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口服沙賓</w:t>
      </w:r>
    </w:p>
    <w:p w:rsidR="00F210C3" w:rsidRDefault="00F210C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</w:t>
      </w:r>
      <w:r>
        <w:rPr>
          <w:rFonts w:ascii="微軟正黑體" w:eastAsia="微軟正黑體" w:hAnsi="微軟正黑體" w:cs="Calibri" w:hint="eastAsia"/>
          <w:sz w:val="22"/>
          <w:szCs w:val="22"/>
        </w:rPr>
        <w:t>＝黃熱病</w:t>
      </w:r>
    </w:p>
    <w:p w:rsidR="00F210C3" w:rsidRDefault="00F210C3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水痘疫苗：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劑水痘疫苗：保護力大約</w:t>
      </w:r>
      <w:r>
        <w:rPr>
          <w:rFonts w:ascii="微軟正黑體" w:eastAsia="微軟正黑體" w:hAnsi="微軟正黑體" w:cs="Calibri" w:hint="eastAsia"/>
          <w:sz w:val="22"/>
          <w:szCs w:val="22"/>
        </w:rPr>
        <w:t>86%</w:t>
      </w:r>
      <w:r>
        <w:rPr>
          <w:rFonts w:ascii="微軟正黑體" w:eastAsia="微軟正黑體" w:hAnsi="微軟正黑體" w:cs="Calibri" w:hint="eastAsia"/>
          <w:sz w:val="22"/>
          <w:szCs w:val="22"/>
        </w:rPr>
        <w:t>，減少、預防水痘感染造成的重症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成人水痘新舊疫苗比較</w:t>
      </w:r>
    </w:p>
    <w:p w:rsidR="00F210C3" w:rsidRDefault="00F210C3">
      <w:pPr>
        <w:numPr>
          <w:ilvl w:val="2"/>
          <w:numId w:val="1"/>
        </w:numPr>
        <w:textAlignment w:val="center"/>
        <w:divId w:val="1430419886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7"/>
        <w:gridCol w:w="2085"/>
        <w:gridCol w:w="2514"/>
      </w:tblGrid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項目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Shingrix (GSK)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Zostavax (MSD)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適用年齡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劑數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1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接種間隔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兩劑相隔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2-6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個月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接種方式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肌肉注射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(IM)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皮下注射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(SC)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重組疫苗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減活疫苗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疫苗成分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非活性抗原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(gE)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Oka/Merck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水痘帶狀皰疹病毒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免疫功能低下者可否接種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可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不適合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禁忌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對疫苗成分過敏者、免疫缺乏者、使用免疫抑制藥物者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整體保護效能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1430419886"/>
        </w:trPr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後遺神經痛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 (PHN)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預防帶狀皰疹併發症保護效能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無相關數據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CDC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歲以上皆建議接種，特別是免疫功能低下者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建議曾接種者再接種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Shingrix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，不建議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50-59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歲接種</w:t>
            </w:r>
          </w:p>
        </w:tc>
      </w:tr>
      <w:tr w:rsidR="00000000">
        <w:trPr>
          <w:divId w:val="1430419886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市場狀況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現行建議使用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10C3" w:rsidRDefault="00F210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美國已於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2020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年退市</w:t>
            </w:r>
          </w:p>
        </w:tc>
      </w:tr>
    </w:tbl>
    <w:p w:rsidR="00F210C3" w:rsidRDefault="00F210C3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流感疫苗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即可施打，每年冬季打一次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歲以下初次接種需打第二劑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兩劑間隔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禁忌症：高燒、急性疾病、先前接種該項疫苗曾發生嚴重反應或未經治療的結核病患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輪狀病毒疫苗：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年紀較大的孩童上可能導致腸套疊，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個月大之兒童接種疫苗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RotaTeq </w:t>
      </w:r>
      <w:r>
        <w:rPr>
          <w:rFonts w:ascii="微軟正黑體" w:eastAsia="微軟正黑體" w:hAnsi="微軟正黑體" w:cs="Calibri" w:hint="eastAsia"/>
          <w:sz w:val="22"/>
          <w:szCs w:val="22"/>
        </w:rPr>
        <w:t>羅逹停：打滿才有保護力，效果較久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個月各口服一劑；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Rotarix </w:t>
      </w:r>
      <w:r>
        <w:rPr>
          <w:rFonts w:ascii="微軟正黑體" w:eastAsia="微軟正黑體" w:hAnsi="微軟正黑體" w:cs="Calibri" w:hint="eastAsia"/>
          <w:sz w:val="22"/>
          <w:szCs w:val="22"/>
        </w:rPr>
        <w:t>羅特律：保護力較快出現，但維持時間較短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個月分別服用一劑；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RSV</w:t>
      </w:r>
      <w:r>
        <w:rPr>
          <w:rFonts w:ascii="微軟正黑體" w:eastAsia="微軟正黑體" w:hAnsi="微軟正黑體" w:cs="Calibri" w:hint="eastAsia"/>
          <w:sz w:val="28"/>
          <w:szCs w:val="28"/>
        </w:rPr>
        <w:t>單株抗體</w:t>
      </w:r>
      <w:r>
        <w:rPr>
          <w:rFonts w:ascii="微軟正黑體" w:eastAsia="微軟正黑體" w:hAnsi="微軟正黑體" w:cs="Calibri" w:hint="eastAsia"/>
          <w:sz w:val="28"/>
          <w:szCs w:val="28"/>
        </w:rPr>
        <w:t>(Palivizumab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Nirsevimab)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直接施打抗體，必須持續施打才能獲得保護力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color w:val="5B9BD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B9BD5"/>
          <w:sz w:val="28"/>
          <w:szCs w:val="28"/>
        </w:rPr>
        <w:t>健保給付族群：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出生時懷孕週期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&lt;33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週的早產兒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併有呼吸道結構、功能異常之慢性肺疾病早產兒（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週以下）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具重大血流動力學異常的先天性心臟病童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所有年齡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流行季節期間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僅能使用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Nirsevimab)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肺炎鏈球菌疫苗</w:t>
      </w:r>
      <w:r>
        <w:rPr>
          <w:rFonts w:ascii="Calibri" w:hAnsi="Calibri" w:cs="Calibri"/>
          <w:sz w:val="28"/>
          <w:szCs w:val="28"/>
        </w:rPr>
        <w:t>: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肺炎鏈球菌表面莢膜多醣</w:t>
      </w:r>
      <w:r>
        <w:rPr>
          <w:rFonts w:ascii="微軟正黑體" w:eastAsia="微軟正黑體" w:hAnsi="微軟正黑體" w:cs="Calibri" w:hint="eastAsia"/>
          <w:sz w:val="22"/>
          <w:szCs w:val="22"/>
        </w:rPr>
        <w:t>(capsularpolysaccharide)</w:t>
      </w:r>
      <w:r>
        <w:rPr>
          <w:rFonts w:ascii="微軟正黑體" w:eastAsia="微軟正黑體" w:hAnsi="微軟正黑體" w:cs="Calibri" w:hint="eastAsia"/>
          <w:sz w:val="22"/>
          <w:szCs w:val="22"/>
        </w:rPr>
        <w:t>與致病力有關，至少有</w:t>
      </w:r>
      <w:r>
        <w:rPr>
          <w:rFonts w:ascii="微軟正黑體" w:eastAsia="微軟正黑體" w:hAnsi="微軟正黑體" w:cs="Calibri" w:hint="eastAsia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sz w:val="22"/>
          <w:szCs w:val="22"/>
        </w:rPr>
        <w:t>種血清型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潛伏在鼻腔內，當免疫力降低可侵入呼吸道或血液中而引發肺炎、菌血症、腦膜炎等嚴重病症，稱為侵襲性肺炎鏈球菌疾病感染症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(IPD)</w:t>
      </w:r>
      <w:r>
        <w:rPr>
          <w:rFonts w:ascii="微軟正黑體" w:eastAsia="微軟正黑體" w:hAnsi="微軟正黑體" w:cs="Calibri" w:hint="eastAsia"/>
          <w:sz w:val="22"/>
          <w:szCs w:val="22"/>
        </w:rPr>
        <w:t>，也是幼兒中耳炎、鼻竇炎最常見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的病原。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高罹病率族群：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歲以下幼童及</w:t>
      </w:r>
      <w:r>
        <w:rPr>
          <w:rFonts w:ascii="微軟正黑體" w:eastAsia="微軟正黑體" w:hAnsi="微軟正黑體" w:cs="Calibri" w:hint="eastAsia"/>
          <w:sz w:val="22"/>
          <w:szCs w:val="22"/>
        </w:rPr>
        <w:t>65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歲以上老人為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大高罹病率族群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不論年齡高危險群：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①</w:t>
      </w:r>
      <w:r>
        <w:rPr>
          <w:rFonts w:ascii="微軟正黑體" w:eastAsia="微軟正黑體" w:hAnsi="微軟正黑體" w:cs="Calibri" w:hint="eastAsia"/>
          <w:sz w:val="22"/>
          <w:szCs w:val="22"/>
        </w:rPr>
        <w:t>脾臟缺損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②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先天或後天免疫功能不全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愛滋病毒感染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③人工耳植入者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④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慢性疾病：慢性腎病變、慢性心臟疾病、慢性肺臟病、糖尿病、慢性肝病與肝硬化患者、酒癮者、菸癮者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⑤</w:t>
      </w:r>
      <w:r>
        <w:rPr>
          <w:rFonts w:ascii="微軟正黑體" w:eastAsia="微軟正黑體" w:hAnsi="微軟正黑體" w:cs="Calibri" w:hint="eastAsia"/>
          <w:sz w:val="22"/>
          <w:szCs w:val="22"/>
        </w:rPr>
        <w:t>腦脊髓液滲漏者</w:t>
      </w:r>
    </w:p>
    <w:p w:rsidR="00F210C3" w:rsidRDefault="00F210C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⑥</w:t>
      </w:r>
      <w:r>
        <w:rPr>
          <w:rFonts w:ascii="微軟正黑體" w:eastAsia="微軟正黑體" w:hAnsi="微軟正黑體" w:cs="Calibri" w:hint="eastAsia"/>
          <w:sz w:val="22"/>
          <w:szCs w:val="22"/>
        </w:rPr>
        <w:t>接受免疫抑制劑或放射治療的惡性腫瘤者或器官移植者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個月即可打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價第一劑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價為多醣體</w:t>
      </w:r>
      <w:r>
        <w:rPr>
          <w:rFonts w:ascii="微軟正黑體" w:eastAsia="微軟正黑體" w:hAnsi="微軟正黑體" w:cs="Calibri" w:hint="eastAsia"/>
          <w:sz w:val="22"/>
          <w:szCs w:val="22"/>
        </w:rPr>
        <w:t>抗原，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嬰幼兒對其免疫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反應不佳</w:t>
      </w:r>
    </w:p>
    <w:p w:rsidR="00F210C3" w:rsidRDefault="00F210C3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破傷風</w:t>
      </w:r>
      <w:r>
        <w:rPr>
          <w:rFonts w:ascii="Calibri" w:hAnsi="Calibri" w:cs="Calibri"/>
          <w:sz w:val="28"/>
          <w:szCs w:val="28"/>
        </w:rPr>
        <w:t>: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五合一預防接種保護力至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狂犬病</w:t>
      </w:r>
      <w:r>
        <w:rPr>
          <w:rFonts w:ascii="Calibri" w:hAnsi="Calibri" w:cs="Calibri"/>
          <w:sz w:val="28"/>
          <w:szCs w:val="28"/>
        </w:rPr>
        <w:t>: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疫苗注射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暴露前：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劑疫苗，分別爲第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21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衛服部</w:t>
      </w:r>
      <w:r>
        <w:rPr>
          <w:rFonts w:ascii="Calibri" w:hAnsi="Calibri" w:cs="Calibri"/>
          <w:sz w:val="22"/>
          <w:szCs w:val="22"/>
        </w:rPr>
        <w:t>2018)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WHO 2022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高風險族群必需在可能的暴露發生前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個月以上事先安排與規劃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天各接種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病人有接受過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暴露前預防接種</w:t>
      </w:r>
      <w:r>
        <w:rPr>
          <w:rFonts w:ascii="微軟正黑體" w:eastAsia="微軟正黑體" w:hAnsi="微軟正黑體" w:cs="Calibri" w:hint="eastAsia"/>
          <w:sz w:val="22"/>
          <w:szCs w:val="22"/>
        </w:rPr>
        <w:t>：只需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再施打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暴露後免疫球蛋白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HRIG (human rabies immunoglobulin)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的使用原則：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施打：與疫苗同時，或首劑疫苗施打後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天內施打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不施打：首劑疫苗施打超過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已產生免疫力不需要被動免疫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、已接受暴露前預防接種、曾接受完整暴露後預防接種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下圖節錄自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lang w:val="x-none"/>
          </w:rPr>
          <w:t>狂犬病防治工作手冊</w:t>
        </w:r>
      </w:hyperlink>
    </w:p>
    <w:p w:rsidR="00F210C3" w:rsidRDefault="00F210C3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210C3" w:rsidRDefault="00F210C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43800" cy="5143500"/>
            <wp:effectExtent l="0" t="0" r="0" b="0"/>
            <wp:docPr id="2" name="圖片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0C3" w:rsidRDefault="00F210C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小補充：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疫苗接種觀念：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: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可同時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不同時間施打時，除了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BCG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口服活性疫苗，其他都須間隔至少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霍亂與黃熱病不可同時施打，其餘皆可。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不同時間施打時霍亂與黃熱病需間隔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週，其餘沒限制。</w:t>
      </w:r>
    </w:p>
    <w:p w:rsidR="00F210C3" w:rsidRDefault="00F210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sz w:val="22"/>
          <w:szCs w:val="22"/>
        </w:rPr>
        <w:t>:</w:t>
      </w:r>
    </w:p>
    <w:p w:rsidR="00F210C3" w:rsidRDefault="00F210C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沒有限制</w:t>
      </w:r>
    </w:p>
    <w:p w:rsidR="00F210C3" w:rsidRDefault="00F210C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口服疫苗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台灣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：輪狀病毒、小兒痲痺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口服沙賓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10C3" w:rsidRDefault="00F210C3" w:rsidP="00F210C3">
      <w:r>
        <w:separator/>
      </w:r>
    </w:p>
  </w:endnote>
  <w:endnote w:type="continuationSeparator" w:id="0">
    <w:p w:rsidR="00F210C3" w:rsidRDefault="00F210C3" w:rsidP="00F2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10C3" w:rsidRDefault="00F210C3" w:rsidP="00F210C3">
      <w:r>
        <w:separator/>
      </w:r>
    </w:p>
  </w:footnote>
  <w:footnote w:type="continuationSeparator" w:id="0">
    <w:p w:rsidR="00F210C3" w:rsidRDefault="00F210C3" w:rsidP="00F21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EE3"/>
    <w:multiLevelType w:val="multilevel"/>
    <w:tmpl w:val="FF8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05031">
    <w:abstractNumId w:val="0"/>
  </w:num>
  <w:num w:numId="2" w16cid:durableId="12841193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C3"/>
    <w:rsid w:val="004939D9"/>
    <w:rsid w:val="00F2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F6D224-3739-4197-9255-6CE8EEF4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21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10C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21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10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41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2GWJQ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