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1FD4" w:rsidRDefault="00C71FD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Pulmonary embolism</w:t>
      </w:r>
    </w:p>
    <w:p w:rsidR="00C71FD4" w:rsidRDefault="00C71F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C71FD4" w:rsidRDefault="00C71F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C71FD4" w:rsidRDefault="00C71FD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1FD4" w:rsidRDefault="00C71F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71FD4" w:rsidRDefault="00C71F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71FD4" w:rsidRDefault="00C71F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71FD4" w:rsidRDefault="00C71F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71FD4" w:rsidRDefault="00C71F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71FD4" w:rsidRDefault="00C71F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71FD4" w:rsidRDefault="00C71FD4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C71FD4" w:rsidRDefault="00C71FD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C71FD4" w:rsidRDefault="00C71FD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Pulmonary </w:t>
      </w:r>
      <w:r>
        <w:rPr>
          <w:rFonts w:ascii="微軟正黑體" w:eastAsia="微軟正黑體" w:hAnsi="微軟正黑體" w:cs="Calibri" w:hint="eastAsia"/>
          <w:sz w:val="28"/>
          <w:szCs w:val="28"/>
        </w:rPr>
        <w:t>embolism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PE </w:t>
      </w:r>
      <w:r>
        <w:rPr>
          <w:rFonts w:ascii="微軟正黑體" w:eastAsia="微軟正黑體" w:hAnsi="微軟正黑體" w:cs="Calibri" w:hint="eastAsia"/>
          <w:sz w:val="28"/>
          <w:szCs w:val="28"/>
        </w:rPr>
        <w:t>是指血栓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通常來自下肢深層靜脈血栓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(Deep vein thrombosis)</w:t>
      </w:r>
      <w:r>
        <w:rPr>
          <w:rFonts w:ascii="微軟正黑體" w:eastAsia="微軟正黑體" w:hAnsi="微軟正黑體" w:cs="Calibri" w:hint="eastAsia"/>
          <w:sz w:val="28"/>
          <w:szCs w:val="28"/>
        </w:rPr>
        <w:t>塞在肺動脈或其分支，導致肺循環受阻。造成呼吸急促、心跳加快、呼吸困難、胸痛、低血壓甚至休克等問題</w:t>
      </w:r>
    </w:p>
    <w:p w:rsidR="00C71FD4" w:rsidRDefault="00C71FD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病因及危險因子</w:t>
      </w:r>
    </w:p>
    <w:p w:rsidR="00C71FD4" w:rsidRDefault="00C71FD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最常見的原因是下肢深靜脈血栓（</w:t>
      </w:r>
      <w:r>
        <w:rPr>
          <w:rFonts w:ascii="微軟正黑體" w:eastAsia="微軟正黑體" w:hAnsi="微軟正黑體" w:cs="Calibri" w:hint="eastAsia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sz w:val="28"/>
          <w:szCs w:val="28"/>
        </w:rPr>
        <w:t>）脫落，經血流進入肺動脈。</w:t>
      </w:r>
    </w:p>
    <w:p w:rsidR="00C71FD4" w:rsidRDefault="00C71FD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其他危險因子包括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C71FD4" w:rsidRDefault="00C71FD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長時間臥床或不動（如手術後、長途旅行）</w:t>
      </w:r>
    </w:p>
    <w:p w:rsidR="00C71FD4" w:rsidRDefault="00C71FD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癌症、肥胖、懷孕、口服避孕藥或荷爾蒙治療</w:t>
      </w:r>
    </w:p>
    <w:p w:rsidR="00C71FD4" w:rsidRDefault="00C71FD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吸菸、遺傳性高凝狀態（如蛋白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C/S </w:t>
      </w:r>
      <w:r>
        <w:rPr>
          <w:rFonts w:ascii="微軟正黑體" w:eastAsia="微軟正黑體" w:hAnsi="微軟正黑體" w:cs="Calibri" w:hint="eastAsia"/>
          <w:sz w:val="22"/>
          <w:szCs w:val="22"/>
        </w:rPr>
        <w:t>缺乏、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Factor V Leiden 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突變）</w:t>
      </w:r>
    </w:p>
    <w:p w:rsidR="00C71FD4" w:rsidRDefault="00C71FD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中風、外傷、手術史</w:t>
      </w:r>
    </w:p>
    <w:p w:rsidR="00C71FD4" w:rsidRDefault="00C71F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Pathophysiology)</w:t>
      </w:r>
    </w:p>
    <w:p w:rsidR="00C71FD4" w:rsidRDefault="00C71FD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血栓的產生主要來自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C71FD4" w:rsidRDefault="00C71FD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Virchow's triad:</w:t>
      </w:r>
    </w:p>
    <w:p w:rsidR="00C71FD4" w:rsidRDefault="00C71FD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Hypercoagulability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高凝血狀態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C71FD4" w:rsidRDefault="00C71FD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Stasis of blood flow(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血流異常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C71FD4" w:rsidRDefault="00C71FD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Endothelial injury(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內皮損傷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C71FD4" w:rsidRDefault="00C71FD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以上要素導致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</w:rPr>
        <w:t>活化的血小板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聚集。這些血小板釋放含有促炎症介質的微粒。微粒與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Nneutrophils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結合，刺激它們釋放核物質並形成網狀的細胞外網絡，稱為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中性粒細胞胞外陷阱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(neutrophil extracellular traps, NETs)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。這些促血栓形成網絡含有組織蛋白，刺激血小板聚集並促進血小板依賴性凝血酶生成，最終導致血栓發生機會增加</w:t>
      </w:r>
    </w:p>
    <w:p w:rsidR="00C71FD4" w:rsidRDefault="00C71FD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主要肺栓塞機制包括：</w:t>
      </w:r>
    </w:p>
    <w:p w:rsidR="00C71FD4" w:rsidRDefault="00C71FD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肺部氧氣交換問題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:</w:t>
      </w:r>
    </w:p>
    <w:p w:rsidR="00C71FD4" w:rsidRDefault="00C71FD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肺泡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動脈氧張力梯度增加</w:t>
      </w:r>
    </w:p>
    <w:p w:rsidR="00C71FD4" w:rsidRDefault="00C71FD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通氣與灌流不匹配</w:t>
      </w:r>
    </w:p>
    <w:p w:rsidR="00C71FD4" w:rsidRDefault="00C71FD4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肺血管阻塞，導致肺血管阻力增加</w:t>
      </w:r>
    </w:p>
    <w:p w:rsidR="00C71FD4" w:rsidRDefault="00C71FD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右心室負荷增加，可能引發右心衰竭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(CT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上可以看到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RV strain)</w:t>
      </w:r>
    </w:p>
    <w:p w:rsidR="00C71FD4" w:rsidRDefault="00C71FD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(septum)</w:t>
      </w:r>
      <w:r>
        <w:rPr>
          <w:rFonts w:ascii="微軟正黑體" w:eastAsia="微軟正黑體" w:hAnsi="微軟正黑體" w:cs="Calibri" w:hint="eastAsia"/>
          <w:sz w:val="22"/>
          <w:szCs w:val="22"/>
        </w:rPr>
        <w:t>被往左推，導致左心室舒張充血功能不足</w:t>
      </w:r>
      <w:r>
        <w:rPr>
          <w:rFonts w:ascii="微軟正黑體" w:eastAsia="微軟正黑體" w:hAnsi="微軟正黑體" w:cs="Calibri" w:hint="eastAsia"/>
          <w:sz w:val="22"/>
          <w:szCs w:val="22"/>
        </w:rPr>
        <w:t>(diastolic LV dysfunciton)</w:t>
      </w:r>
    </w:p>
    <w:p w:rsidR="00C71FD4" w:rsidRDefault="00C71FD4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心臟輸出量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(cardiac </w:t>
      </w:r>
      <w:r>
        <w:rPr>
          <w:rFonts w:ascii="微軟正黑體" w:eastAsia="微軟正黑體" w:hAnsi="微軟正黑體" w:cs="Calibri" w:hint="eastAsia"/>
          <w:sz w:val="22"/>
          <w:szCs w:val="22"/>
        </w:rPr>
        <w:t>output)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下降，嚴重者可能出現血流動力學不穩定，導致休克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(obstructive shock)</w:t>
      </w:r>
    </w:p>
    <w:p w:rsidR="00C71FD4" w:rsidRDefault="00C71FD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診斷</w:t>
      </w:r>
    </w:p>
    <w:p w:rsidR="00C71FD4" w:rsidRDefault="00C71FD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臨床評估工具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Wells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評分系統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：評估肺動脈栓塞的臨床可能性。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：可能出現非特異性變化，如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S1Q3T3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V1-V4 T wave inversion</w:t>
      </w:r>
    </w:p>
    <w:p w:rsidR="00C71FD4" w:rsidRDefault="00C71FD4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影像學檢查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胸腔電腦斷層血管攝影（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Chest CTA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）：診斷肺動脈栓塞的首選方法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。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肺臟血流灌注掃描（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Lung perfusion scan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：無法做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的替代選擇，或是如果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CTA negative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臨床仍懷疑可加做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下肢靜脈超音波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：檢查是否存在深靜脈血栓，但在已經發生肺栓塞的病人身上常常找不到血栓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已經打到其他地方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：評估右心室功能和肺動脈壓力。</w:t>
      </w:r>
    </w:p>
    <w:p w:rsidR="00C71FD4" w:rsidRDefault="00C71FD4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動脈血氣分析：可能顯示低氧血症。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檢測：若結果正常，可排除肺動脈栓塞；若升高，需進一步影像學檢查。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NT-proBNP: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會牽張心壁肌肉導致</w:t>
      </w:r>
      <w:r>
        <w:rPr>
          <w:rFonts w:ascii="微軟正黑體" w:eastAsia="微軟正黑體" w:hAnsi="微軟正黑體" w:cs="Calibri" w:hint="eastAsia"/>
          <w:sz w:val="22"/>
          <w:szCs w:val="22"/>
        </w:rPr>
        <w:t>NT-BNP</w:t>
      </w:r>
      <w:r>
        <w:rPr>
          <w:rFonts w:ascii="微軟正黑體" w:eastAsia="微軟正黑體" w:hAnsi="微軟正黑體" w:cs="Calibri" w:hint="eastAsia"/>
          <w:sz w:val="22"/>
          <w:szCs w:val="22"/>
        </w:rPr>
        <w:t>分泌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Troponin-I: 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還會壓迫到右冠狀動脈，導致右心室缺血</w:t>
      </w:r>
    </w:p>
    <w:p w:rsidR="00C71FD4" w:rsidRDefault="00C71FD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Well's criteria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63"/>
        <w:gridCol w:w="883"/>
      </w:tblGrid>
      <w:tr w:rsidR="00000000">
        <w:trPr>
          <w:divId w:val="4398588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Assessment Item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Points</w:t>
            </w:r>
          </w:p>
        </w:tc>
      </w:tr>
      <w:tr w:rsidR="00000000">
        <w:trPr>
          <w:divId w:val="4398588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Symptoms of Deep Vein Thrombosis (DVT) (e.g., unilateral leg swelling, pain)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4398588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is more likely than other diagnoses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4398588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Heart rate &gt; 100 bpm (tachycardia)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4398588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Recent surgery or bed rest &gt; 3 days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4398588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Previous history of DVT or PE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4398588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43985881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 (under treatment or treated within the past 6 months)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156"/>
        <w:gridCol w:w="1305"/>
      </w:tblGrid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1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likely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unlikely</w:t>
            </w:r>
          </w:p>
        </w:tc>
      </w:tr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score</w:t>
            </w:r>
          </w:p>
        </w:tc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</w:p>
        </w:tc>
      </w:tr>
    </w:tbl>
    <w:p w:rsidR="00C71FD4" w:rsidRDefault="00C71FD4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直接排</w:t>
      </w:r>
      <w:r>
        <w:rPr>
          <w:rFonts w:ascii="微軟正黑體" w:eastAsia="微軟正黑體" w:hAnsi="微軟正黑體" w:cs="Calibri" w:hint="eastAsia"/>
          <w:sz w:val="22"/>
          <w:szCs w:val="22"/>
        </w:rPr>
        <w:t>Chest CTA</w:t>
      </w:r>
    </w:p>
    <w:p w:rsidR="00C71FD4" w:rsidRDefault="00C71FD4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unlikely: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測</w:t>
      </w:r>
      <w:r>
        <w:rPr>
          <w:rFonts w:ascii="微軟正黑體" w:eastAsia="微軟正黑體" w:hAnsi="微軟正黑體" w:cs="Calibri" w:hint="eastAsia"/>
          <w:sz w:val="22"/>
          <w:szCs w:val="22"/>
        </w:rPr>
        <w:t>d-dimer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negative </w:t>
      </w:r>
      <w:r>
        <w:rPr>
          <w:rFonts w:ascii="微軟正黑體" w:eastAsia="微軟正黑體" w:hAnsi="微軟正黑體" w:cs="Calibri" w:hint="eastAsia"/>
          <w:sz w:val="22"/>
          <w:szCs w:val="22"/>
        </w:rPr>
        <w:t>可排除</w:t>
      </w: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C71FD4" w:rsidRDefault="00C71FD4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71FD4" w:rsidRDefault="00C71FD4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71FD4" w:rsidRDefault="00C71FD4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C71FD4" w:rsidRDefault="00C71FD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治療方針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sz w:val="28"/>
          <w:szCs w:val="28"/>
        </w:rPr>
        <w:t>風險分級參考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PESI score)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高風險患者，建議進行主要再灌注治療，通常是全身性血栓溶解或血管取栓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中度風險患者，應住院治療並進行抗凝治療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低風險患者可考慮早期出院和居家治療</w:t>
      </w:r>
    </w:p>
    <w:p w:rsidR="00C71FD4" w:rsidRDefault="00C71FD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藥物治療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低分子量肝素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(LMWH)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普通肝素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(UFH)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維生素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拮抗劑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(VKAs)</w:t>
      </w:r>
    </w:p>
    <w:p w:rsidR="00C71FD4" w:rsidRDefault="00C71FD4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新型口服抗凝劑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(NOACs)</w:t>
      </w:r>
    </w:p>
    <w:p w:rsidR="00C71FD4" w:rsidRDefault="00C71FD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PESI(Pulmonary Embolism Severity Index)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4"/>
        <w:gridCol w:w="1110"/>
      </w:tblGrid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年齡（歲）</w:t>
            </w:r>
          </w:p>
        </w:tc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=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年齡值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414253285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Congestive heart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lung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 bpm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100 mmHg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 /min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36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414253285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意識不清（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mental status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+60</w:t>
            </w:r>
          </w:p>
        </w:tc>
      </w:tr>
      <w:tr w:rsidR="00000000">
        <w:trPr>
          <w:divId w:val="414253285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血氧飽和度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90%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4"/>
        <w:gridCol w:w="1207"/>
        <w:gridCol w:w="1423"/>
        <w:gridCol w:w="1786"/>
      </w:tblGrid>
      <w:tr w:rsidR="00000000"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PESI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總分範圍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風險等級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天死亡率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6.5%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IV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10.4%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V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&gt;125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1FD4" w:rsidRDefault="00C71FD4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24.5%</w:t>
            </w:r>
          </w:p>
        </w:tc>
      </w:tr>
    </w:tbl>
    <w:p w:rsidR="00C71FD4" w:rsidRDefault="00C71FD4">
      <w:pPr>
        <w:pStyle w:val="Web"/>
        <w:spacing w:before="120" w:beforeAutospacing="0" w:after="12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C71FD4" w:rsidRDefault="00C71FD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C71FD4" w:rsidRDefault="00C71FD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C71FD4" w:rsidRDefault="00C71FD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The Task Force for the diagnosis and management of acute pulmonary embolism of the European Society of Cardiology (ESC), </w:t>
      </w:r>
      <w:r>
        <w:rPr>
          <w:rFonts w:ascii="Microsoft JhengHei Light" w:eastAsia="Microsoft JhengHei Light" w:hAnsi="Microsoft JhengHei Light" w:cs="Calibri" w:hint="eastAsia"/>
          <w:i/>
          <w:iCs/>
          <w:sz w:val="28"/>
          <w:szCs w:val="28"/>
        </w:rPr>
        <w:t>European Heart Journal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, Volume 41, Issue 4, 21 January 2020, Pages 543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–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603,</w:t>
      </w:r>
    </w:p>
    <w:p w:rsidR="00C71FD4" w:rsidRDefault="00C71FD4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1FD4" w:rsidRDefault="00C71FD4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C71FD4" w:rsidRDefault="00C71FD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1FD4" w:rsidRDefault="00C71FD4" w:rsidP="00C71FD4">
      <w:r>
        <w:separator/>
      </w:r>
    </w:p>
  </w:endnote>
  <w:endnote w:type="continuationSeparator" w:id="0">
    <w:p w:rsidR="00C71FD4" w:rsidRDefault="00C71FD4" w:rsidP="00C71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1FD4" w:rsidRDefault="00C71FD4" w:rsidP="00C71FD4">
      <w:r>
        <w:separator/>
      </w:r>
    </w:p>
  </w:footnote>
  <w:footnote w:type="continuationSeparator" w:id="0">
    <w:p w:rsidR="00C71FD4" w:rsidRDefault="00C71FD4" w:rsidP="00C71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A3A5C"/>
    <w:multiLevelType w:val="multilevel"/>
    <w:tmpl w:val="6E6C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13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D4"/>
    <w:rsid w:val="000660DA"/>
    <w:rsid w:val="00C7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30E079-1481-420D-B98C-986FE7A4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1F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1FD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71F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1FD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5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3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