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73AC" w:rsidRDefault="00C873AC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Acute Respiratory Distress Syndrome (ARDS)</w:t>
      </w:r>
    </w:p>
    <w:p w:rsidR="00C873AC" w:rsidRDefault="00C873A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C873AC" w:rsidRDefault="00C873A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12:07 AM</w:t>
      </w:r>
    </w:p>
    <w:p w:rsidR="00C873AC" w:rsidRDefault="00C873A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873AC" w:rsidRDefault="00C873AC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873AC" w:rsidRDefault="00C873A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873AC" w:rsidRDefault="00C873A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873AC" w:rsidRDefault="00C873A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873AC" w:rsidRDefault="00C873A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873AC" w:rsidRDefault="00C873A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873AC" w:rsidRDefault="00C873AC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873AC" w:rsidRDefault="00C873AC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873AC" w:rsidRDefault="00C873AC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C873AC" w:rsidRDefault="00C873AC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（急性呼吸窘迫症候群）是一臨床症候群，特徵包括：</w:t>
      </w:r>
    </w:p>
    <w:p w:rsidR="00C873AC" w:rsidRDefault="00C873AC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急性發作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嚴重呼吸困難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severe dyspnea of rapid onset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873AC" w:rsidRDefault="00C873AC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低血氧</w:t>
      </w:r>
      <w:r>
        <w:rPr>
          <w:rFonts w:ascii="微軟正黑體" w:eastAsia="微軟正黑體" w:hAnsi="微軟正黑體" w:cs="Calibri" w:hint="eastAsia"/>
          <w:sz w:val="22"/>
          <w:szCs w:val="22"/>
        </w:rPr>
        <w:t>症（</w:t>
      </w:r>
      <w:r>
        <w:rPr>
          <w:rFonts w:ascii="微軟正黑體" w:eastAsia="微軟正黑體" w:hAnsi="微軟正黑體" w:cs="Calibri" w:hint="eastAsia"/>
          <w:sz w:val="22"/>
          <w:szCs w:val="22"/>
        </w:rPr>
        <w:t>hypoxemia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873AC" w:rsidRDefault="00C873AC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瀰漫性肺部浸潤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diffuse pulmonary infiltrates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873AC" w:rsidRDefault="00C873AC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respiratory failure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873AC" w:rsidRDefault="00C873AC">
      <w:pPr>
        <w:numPr>
          <w:ilvl w:val="0"/>
          <w:numId w:val="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</w:t>
      </w:r>
    </w:p>
    <w:p w:rsidR="00C873AC" w:rsidRDefault="00C873AC">
      <w:pPr>
        <w:numPr>
          <w:ilvl w:val="1"/>
          <w:numId w:val="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是因疾病引起的瀰漫性肺損傷所導致，肺損傷可分為：</w:t>
      </w:r>
    </w:p>
    <w:p w:rsidR="00C873AC" w:rsidRDefault="00C873AC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直接損傷（如</w:t>
      </w:r>
      <w:r>
        <w:rPr>
          <w:rFonts w:ascii="微軟正黑體" w:eastAsia="微軟正黑體" w:hAnsi="微軟正黑體" w:cs="Calibri" w:hint="eastAsia"/>
          <w:sz w:val="22"/>
          <w:szCs w:val="22"/>
        </w:rPr>
        <w:t>pneumonia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aspiration </w:t>
      </w:r>
      <w:r>
        <w:rPr>
          <w:rFonts w:ascii="微軟正黑體" w:eastAsia="微軟正黑體" w:hAnsi="微軟正黑體" w:cs="Calibri" w:hint="eastAsia"/>
          <w:sz w:val="22"/>
          <w:szCs w:val="22"/>
        </w:rPr>
        <w:t>of gastric contents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pulmonary contusion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near-drowning</w:t>
      </w:r>
      <w:r>
        <w:rPr>
          <w:rFonts w:ascii="微軟正黑體" w:eastAsia="微軟正黑體" w:hAnsi="微軟正黑體" w:cs="Calibri" w:hint="eastAsia"/>
          <w:sz w:val="22"/>
          <w:szCs w:val="22"/>
        </w:rPr>
        <w:t>、吸入有毒氣體）</w:t>
      </w:r>
    </w:p>
    <w:p w:rsidR="00C873AC" w:rsidRDefault="00C873AC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間接損傷（如敗血症、嚴重外傷、</w:t>
      </w:r>
      <w:r>
        <w:rPr>
          <w:rFonts w:ascii="微軟正黑體" w:eastAsia="微軟正黑體" w:hAnsi="微軟正黑體" w:cs="Calibri" w:hint="eastAsia"/>
          <w:sz w:val="22"/>
          <w:szCs w:val="22"/>
        </w:rPr>
        <w:t>multiple transfusions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drug overdose</w:t>
      </w:r>
      <w:r>
        <w:rPr>
          <w:rFonts w:ascii="微軟正黑體" w:eastAsia="微軟正黑體" w:hAnsi="微軟正黑體" w:cs="Calibri" w:hint="eastAsia"/>
          <w:sz w:val="22"/>
          <w:szCs w:val="22"/>
        </w:rPr>
        <w:t>、胰臟炎、</w:t>
      </w:r>
      <w:r>
        <w:rPr>
          <w:rFonts w:ascii="微軟正黑體" w:eastAsia="微軟正黑體" w:hAnsi="微軟正黑體" w:cs="Calibri" w:hint="eastAsia"/>
          <w:sz w:val="22"/>
          <w:szCs w:val="22"/>
        </w:rPr>
        <w:t>postcardiopulmonary bypass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873AC" w:rsidRDefault="00C873AC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Pneumonia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sepsis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為最常引起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的原因</w:t>
      </w:r>
    </w:p>
    <w:p w:rsidR="00C873AC" w:rsidRDefault="00C873AC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sz w:val="32"/>
          <w:szCs w:val="32"/>
        </w:rPr>
        <w:t>Berlin's definition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00"/>
        <w:gridCol w:w="4526"/>
      </w:tblGrid>
      <w:tr w:rsidR="00000000">
        <w:trPr>
          <w:divId w:val="441733362"/>
        </w:trPr>
        <w:tc>
          <w:tcPr>
            <w:tcW w:w="3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441733362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發病時間</w:t>
            </w:r>
          </w:p>
        </w:tc>
        <w:tc>
          <w:tcPr>
            <w:tcW w:w="6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3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急性發作：在已知臨床病因後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一週內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新產生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惡化的呼吸症狀</w:t>
            </w:r>
          </w:p>
        </w:tc>
      </w:tr>
      <w:tr w:rsidR="00000000">
        <w:trPr>
          <w:divId w:val="441733362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氧合程度（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oxygenation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PF ratio= PaO2/FiO2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  <w:tc>
          <w:tcPr>
            <w:tcW w:w="6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PEEP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5cmH2O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的情況下：</w:t>
            </w:r>
          </w:p>
          <w:p w:rsidR="00C873AC" w:rsidRDefault="00C873AC">
            <w:pPr>
              <w:numPr>
                <w:ilvl w:val="2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Mild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200mmHg &lt;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PF ratio </w:t>
            </w:r>
            <w:r>
              <w:rPr>
                <w:rFonts w:ascii="Cambria Math" w:hAnsi="Cambria Math"/>
                <w:color w:val="C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300mmHg</w:t>
            </w:r>
          </w:p>
          <w:p w:rsidR="00C873AC" w:rsidRDefault="00C873AC">
            <w:pPr>
              <w:numPr>
                <w:ilvl w:val="2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Moderate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100mmHg &lt; PF ratio 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200mmHg</w:t>
            </w:r>
          </w:p>
          <w:p w:rsidR="00C873AC" w:rsidRDefault="00C873AC">
            <w:pPr>
              <w:numPr>
                <w:ilvl w:val="2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Severe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PF ratio 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100mmHg</w:t>
            </w:r>
          </w:p>
        </w:tc>
      </w:tr>
      <w:tr w:rsidR="00000000">
        <w:trPr>
          <w:divId w:val="441733362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胸部影像</w:t>
            </w:r>
          </w:p>
        </w:tc>
        <w:tc>
          <w:tcPr>
            <w:tcW w:w="6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5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（雙側肺浸潤且無法以積水、肺塌陷或肺結節來解釋）</w:t>
            </w:r>
          </w:p>
        </w:tc>
      </w:tr>
      <w:tr w:rsidR="00000000">
        <w:trPr>
          <w:divId w:val="441733362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肺水腫來源</w:t>
            </w:r>
          </w:p>
        </w:tc>
        <w:tc>
          <w:tcPr>
            <w:tcW w:w="6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呼吸衰竭無法以心因性肺水腫或液體負荷過多來完全解釋（意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即肺水腫不是心衰竭引起的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），需臨床判斷或心臟超音波排除</w:t>
            </w:r>
          </w:p>
        </w:tc>
      </w:tr>
    </w:tbl>
    <w:p w:rsidR="00C873AC" w:rsidRDefault="00C873AC">
      <w:pPr>
        <w:numPr>
          <w:ilvl w:val="0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病生理及病程</w:t>
      </w:r>
    </w:p>
    <w:p w:rsidR="00C873AC" w:rsidRDefault="00C873AC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病程共分三階段：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4"/>
        <w:gridCol w:w="2186"/>
        <w:gridCol w:w="2951"/>
        <w:gridCol w:w="2040"/>
      </w:tblGrid>
      <w:tr w:rsidR="00000000">
        <w:trPr>
          <w:divId w:val="1412313806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時期</w:t>
            </w:r>
          </w:p>
        </w:tc>
        <w:tc>
          <w:tcPr>
            <w:tcW w:w="14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時間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主要病生理變化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</w:tr>
      <w:tr w:rsidR="00000000">
        <w:trPr>
          <w:divId w:val="1412313806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滲出期（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Exudative phase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發病後第一週內</w:t>
            </w:r>
          </w:p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（通常是第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天）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8"/>
              </w:numPr>
              <w:spacing w:before="100" w:after="10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肺泡上皮及微血管內皮受損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，導致肺泡毛細血管通透性增加</w:t>
            </w:r>
          </w:p>
          <w:p w:rsidR="00C873AC" w:rsidRDefault="00C873AC">
            <w:pPr>
              <w:numPr>
                <w:ilvl w:val="1"/>
                <w:numId w:val="8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蛋白質豐富的滲出液進入肺泡空間</w:t>
            </w:r>
          </w:p>
          <w:p w:rsidR="00C873AC" w:rsidRDefault="00C873AC">
            <w:pPr>
              <w:numPr>
                <w:ilvl w:val="1"/>
                <w:numId w:val="8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出現廣泛性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肺泡水腫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透明膜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hyaline membrane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）形成</w:t>
            </w:r>
          </w:p>
          <w:p w:rsidR="00C873AC" w:rsidRDefault="00C873AC">
            <w:pPr>
              <w:numPr>
                <w:ilvl w:val="1"/>
                <w:numId w:val="8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嚴重氣體交換障礙（低氧血症）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9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呼吸窘迫、低氧血症（對氧氣治療反應差）</w:t>
            </w:r>
          </w:p>
          <w:p w:rsidR="00C873AC" w:rsidRDefault="00C873AC">
            <w:pPr>
              <w:numPr>
                <w:ilvl w:val="1"/>
                <w:numId w:val="9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需依賴機械通氣支持</w:t>
            </w:r>
          </w:p>
          <w:p w:rsidR="00C873AC" w:rsidRDefault="00C873AC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12313806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增生期（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Proliferative phase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7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21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天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1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肺泡上皮細胞（特別是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型肺泡細胞）再生</w:t>
            </w:r>
          </w:p>
          <w:p w:rsidR="00C873AC" w:rsidRDefault="00C873AC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內皮修復，肺泡液體開始被吸收</w:t>
            </w:r>
          </w:p>
          <w:p w:rsidR="00C873AC" w:rsidRDefault="00C873AC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巨噬細胞與纖維母細胞活化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，釋放生長因子</w:t>
            </w:r>
          </w:p>
          <w:p w:rsidR="00C873AC" w:rsidRDefault="00C873AC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肺泡間質內出現輕微至中度的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纖維化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改變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有些病人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呼吸功能逐漸改善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，可以減少氧氣或脫離呼吸器</w:t>
            </w:r>
          </w:p>
          <w:p w:rsidR="00C873AC" w:rsidRDefault="00C873AC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部分病人仍然有中度氧合障礙</w:t>
            </w:r>
          </w:p>
        </w:tc>
      </w:tr>
      <w:tr w:rsidR="00000000">
        <w:trPr>
          <w:divId w:val="1412313806"/>
        </w:trPr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纖維化期（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Fibrotic phase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1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部分病人在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週後進入此階段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（不是每個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患者都會進入）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肺纖維化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及肺泡結構重塑</w:t>
            </w:r>
          </w:p>
          <w:p w:rsidR="00C873AC" w:rsidRDefault="00C873AC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出現厚壁纖維化肺泡，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肺順應性降低</w:t>
            </w:r>
          </w:p>
          <w:p w:rsidR="00C873AC" w:rsidRDefault="00C873AC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持續的氣體交換障礙與呼吸功能異常</w:t>
            </w:r>
          </w:p>
          <w:p w:rsidR="00C873AC" w:rsidRDefault="00C873AC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上述產生的生理變化導致病人產生氣胸的機率增加</w:t>
            </w:r>
          </w:p>
        </w:tc>
        <w:tc>
          <w:tcPr>
            <w:tcW w:w="2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長期需要氧氣治療，甚至呼吸器支持</w:t>
            </w:r>
          </w:p>
          <w:p w:rsidR="00C873AC" w:rsidRDefault="00C873AC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有些病人可留有慢性呼吸衰竭或活動耐力下降</w:t>
            </w:r>
          </w:p>
          <w:p w:rsidR="00C873AC" w:rsidRDefault="00C873AC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影像上可見廣泛性肺纖維化變化</w:t>
            </w:r>
          </w:p>
        </w:tc>
      </w:tr>
    </w:tbl>
    <w:p w:rsidR="00C873AC" w:rsidRDefault="00C873AC">
      <w:pPr>
        <w:numPr>
          <w:ilvl w:val="0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</w:p>
    <w:p w:rsidR="00C873AC" w:rsidRDefault="00C873AC">
      <w:pPr>
        <w:numPr>
          <w:ilvl w:val="1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一般原則</w:t>
      </w:r>
    </w:p>
    <w:p w:rsidR="00C873AC" w:rsidRDefault="00C873AC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找出並積極治療引起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sz w:val="22"/>
          <w:szCs w:val="22"/>
        </w:rPr>
        <w:t>的原發病（如：敗血症、肺炎、創傷、吸入性損傷等）</w:t>
      </w:r>
    </w:p>
    <w:p w:rsidR="00C873AC" w:rsidRDefault="00C873AC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其他原則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86"/>
        <w:gridCol w:w="3672"/>
        <w:gridCol w:w="1308"/>
      </w:tblGrid>
      <w:tr w:rsidR="00000000">
        <w:trPr>
          <w:divId w:val="2088186573"/>
        </w:trPr>
        <w:tc>
          <w:tcPr>
            <w:tcW w:w="2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5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2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國考考點</w:t>
            </w:r>
          </w:p>
        </w:tc>
      </w:tr>
      <w:tr w:rsidR="00000000">
        <w:trPr>
          <w:divId w:val="2088186573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低潮氣量通氣（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Low tidal volume ventilation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16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Tidal volume: 4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6 ml/kg</w:t>
            </w:r>
          </w:p>
          <w:p w:rsidR="00C873AC" w:rsidRDefault="00C873AC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減少呼吸器相關肺損傷（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ventilator-induced lung injury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C873AC" w:rsidRDefault="00C873AC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維持平台壓力（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plateau pressure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30 cm H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</w:t>
            </w:r>
          </w:p>
        </w:tc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低潮氣量是減少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死亡率的關鍵策略</w:t>
            </w:r>
          </w:p>
        </w:tc>
      </w:tr>
      <w:tr w:rsidR="00000000">
        <w:trPr>
          <w:divId w:val="2088186573"/>
        </w:trPr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適度使用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Positive end-expiratory pressure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17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維持肺泡開啟、改善氧合</w:t>
            </w:r>
          </w:p>
          <w:p w:rsidR="00C873AC" w:rsidRDefault="00C873AC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避免肺泡塌陷（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alveolar collapse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）導致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atelectrauma</w:t>
            </w:r>
          </w:p>
          <w:p w:rsidR="00C873AC" w:rsidRDefault="00C873AC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需聯合調整以達目標氧合（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&gt; 55 mmHg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SpO</w:t>
            </w:r>
            <w:r>
              <w:rPr>
                <w:rFonts w:ascii="Cambria Math" w:hAnsi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&gt; 88%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使用適當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，但避免過高導致肺過度擴張或心排血量下降</w:t>
            </w:r>
          </w:p>
        </w:tc>
      </w:tr>
      <w:tr w:rsidR="00000000">
        <w:trPr>
          <w:divId w:val="2088186573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氧合目標設定</w:t>
            </w:r>
          </w:p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1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不必追求正常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，只要最低足夠供氧即可</w:t>
            </w:r>
          </w:p>
          <w:p w:rsidR="00C873AC" w:rsidRDefault="00C873AC">
            <w:pPr>
              <w:numPr>
                <w:ilvl w:val="1"/>
                <w:numId w:val="1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SpO</w:t>
            </w:r>
            <w:r>
              <w:rPr>
                <w:rFonts w:ascii="Cambria Math" w:hAnsi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88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，避免高氧傷害（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oxygen toxicity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</w:t>
            </w:r>
          </w:p>
        </w:tc>
        <w:tc>
          <w:tcPr>
            <w:tcW w:w="2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</w:tr>
      <w:tr w:rsidR="00000000">
        <w:trPr>
          <w:divId w:val="2088186573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俯臥式通氣模式（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Prone Positioning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19"/>
              </w:numPr>
              <w:textAlignment w:val="center"/>
              <w:rPr>
                <w:rFonts w:hint="eastAsia"/>
                <w:color w:val="92D05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中重度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/FiO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150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）建議早期俯臥通氣</w:t>
            </w:r>
          </w:p>
          <w:p w:rsidR="00C873AC" w:rsidRDefault="00C873AC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改善肺通氣灌流比例與氧合</w:t>
            </w:r>
          </w:p>
        </w:tc>
        <w:tc>
          <w:tcPr>
            <w:tcW w:w="2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早期、長時間（至少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16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小時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天）俯臥位治療可改善預後</w:t>
            </w:r>
          </w:p>
        </w:tc>
      </w:tr>
      <w:tr w:rsidR="00000000">
        <w:trPr>
          <w:divId w:val="2088186573"/>
        </w:trPr>
        <w:tc>
          <w:tcPr>
            <w:tcW w:w="24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呼吸器脫離與拔管時機（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Weaning and Extubation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2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呼吸狀況穩定後，積極進行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weaning</w:t>
            </w:r>
          </w:p>
          <w:p w:rsidR="00C873AC" w:rsidRDefault="00C873AC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呼吸衰竭的原因已有改善</w:t>
            </w:r>
          </w:p>
          <w:p w:rsidR="00C873AC" w:rsidRDefault="00C873AC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需要的呼吸器支持最小（低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，低壓力支持）</w:t>
            </w:r>
          </w:p>
          <w:p w:rsidR="00C873AC" w:rsidRDefault="00C873AC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不需依賴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或其他輔助治療，即可提供足夠的氧氣補充</w:t>
            </w:r>
          </w:p>
          <w:p w:rsidR="00C873AC" w:rsidRDefault="00C873AC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病人通過自發性呼吸試驗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92D05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92D050"/>
                <w:sz w:val="22"/>
                <w:szCs w:val="22"/>
              </w:rPr>
              <w:t> </w:t>
            </w:r>
          </w:p>
        </w:tc>
      </w:tr>
      <w:tr w:rsidR="00000000">
        <w:trPr>
          <w:divId w:val="2088186573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葉克膜循環輔助系統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(ECMO)</w:t>
            </w:r>
          </w:p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21"/>
              </w:numPr>
              <w:spacing w:before="100" w:after="10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用於極重度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，常規治療失敗且有生命危險時（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rescue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C873AC" w:rsidRDefault="00C873AC">
            <w:pPr>
              <w:numPr>
                <w:ilvl w:val="1"/>
                <w:numId w:val="21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但此療法在各種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study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中結果不一</w:t>
            </w:r>
          </w:p>
          <w:p w:rsidR="00C873AC" w:rsidRDefault="00C873AC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國考曾考：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VV-ECMO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（靜脈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靜脈型）為主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（靜脈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動脈型）</w:t>
            </w:r>
          </w:p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</w:tr>
      <w:tr w:rsidR="00000000">
        <w:trPr>
          <w:divId w:val="2088186573"/>
        </w:trPr>
        <w:tc>
          <w:tcPr>
            <w:tcW w:w="2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限制液體輸注（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Conservative fluid strategy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2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限制水分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，避免加重肺水腫</w:t>
            </w:r>
          </w:p>
          <w:p w:rsidR="00C873AC" w:rsidRDefault="00C873AC">
            <w:pPr>
              <w:numPr>
                <w:ilvl w:val="1"/>
                <w:numId w:val="2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若血壓穩定，建議使用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利尿劑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幫助負平衡</w:t>
            </w:r>
          </w:p>
        </w:tc>
        <w:tc>
          <w:tcPr>
            <w:tcW w:w="26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「乾一點（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Dry Lung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）」比「濕一點」好</w:t>
            </w:r>
          </w:p>
        </w:tc>
      </w:tr>
      <w:tr w:rsidR="00000000">
        <w:trPr>
          <w:divId w:val="2088186573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肌肉鬆弛劑短期使用（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Neuromuscular Blockade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23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早期重度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可考慮短期使用（如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cisatracurium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），目的是為了減少自主呼吸導致的肺損傷</w:t>
            </w:r>
          </w:p>
          <w:p w:rsidR="00C873AC" w:rsidRDefault="00C873AC">
            <w:pPr>
              <w:numPr>
                <w:ilvl w:val="1"/>
                <w:numId w:val="2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注意：使用時間要短、監控副作用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2088186573"/>
        </w:trPr>
        <w:tc>
          <w:tcPr>
            <w:tcW w:w="24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皮質類固醇（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Glucocorticoids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2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對特定病人群可能有幫助，但時機與劑量尚無定論</w:t>
            </w:r>
          </w:p>
          <w:p w:rsidR="00C873AC" w:rsidRDefault="00C873AC">
            <w:pPr>
              <w:numPr>
                <w:ilvl w:val="1"/>
                <w:numId w:val="2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evidence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並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不支持常規使用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</w:t>
            </w:r>
          </w:p>
        </w:tc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早期普遍不建議常規使用類固醇，但某些纖維化期可能考慮使用</w:t>
            </w:r>
          </w:p>
        </w:tc>
      </w:tr>
    </w:tbl>
    <w:p w:rsidR="00C873AC" w:rsidRDefault="00C873AC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C873AC" w:rsidRDefault="00C873AC">
      <w:pPr>
        <w:numPr>
          <w:ilvl w:val="0"/>
          <w:numId w:val="2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預後</w:t>
      </w:r>
    </w:p>
    <w:p w:rsidR="00C873AC" w:rsidRDefault="00C873AC">
      <w:pPr>
        <w:numPr>
          <w:ilvl w:val="1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死亡率（</w:t>
      </w:r>
      <w:r>
        <w:rPr>
          <w:rFonts w:ascii="微軟正黑體" w:eastAsia="微軟正黑體" w:hAnsi="微軟正黑體" w:cs="Calibri" w:hint="eastAsia"/>
          <w:sz w:val="28"/>
          <w:szCs w:val="28"/>
        </w:rPr>
        <w:t>Mortality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C873AC" w:rsidRDefault="00C873AC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sz w:val="22"/>
          <w:szCs w:val="22"/>
        </w:rPr>
        <w:t>嚴重度有關（</w:t>
      </w:r>
      <w:r>
        <w:rPr>
          <w:rFonts w:ascii="微軟正黑體" w:eastAsia="微軟正黑體" w:hAnsi="微軟正黑體" w:cs="Calibri" w:hint="eastAsia"/>
          <w:sz w:val="22"/>
          <w:szCs w:val="22"/>
        </w:rPr>
        <w:t>PF ratio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），下列數據為根據</w:t>
      </w:r>
      <w:r>
        <w:rPr>
          <w:rFonts w:ascii="微軟正黑體" w:eastAsia="微軟正黑體" w:hAnsi="微軟正黑體" w:cs="Calibri" w:hint="eastAsia"/>
          <w:sz w:val="22"/>
          <w:szCs w:val="22"/>
        </w:rPr>
        <w:t>LUNG SAFE trial</w:t>
      </w:r>
      <w:r>
        <w:rPr>
          <w:rFonts w:ascii="微軟正黑體" w:eastAsia="微軟正黑體" w:hAnsi="微軟正黑體" w:cs="Calibri" w:hint="eastAsia"/>
          <w:sz w:val="22"/>
          <w:szCs w:val="22"/>
        </w:rPr>
        <w:t>統計之</w:t>
      </w:r>
      <w:r>
        <w:rPr>
          <w:rFonts w:ascii="微軟正黑體" w:eastAsia="微軟正黑體" w:hAnsi="微軟正黑體" w:cs="Calibri" w:hint="eastAsia"/>
          <w:sz w:val="22"/>
          <w:szCs w:val="22"/>
        </w:rPr>
        <w:t>hospital mortality</w:t>
      </w:r>
    </w:p>
    <w:p w:rsidR="00C873AC" w:rsidRDefault="00C873AC">
      <w:pPr>
        <w:numPr>
          <w:ilvl w:val="3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輕度：相對較低（</w:t>
      </w:r>
      <w:r>
        <w:rPr>
          <w:rFonts w:ascii="微軟正黑體" w:eastAsia="微軟正黑體" w:hAnsi="微軟正黑體" w:cs="Calibri" w:hint="eastAsia"/>
          <w:sz w:val="22"/>
          <w:szCs w:val="22"/>
        </w:rPr>
        <w:t>34.9%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873AC" w:rsidRDefault="00C873AC">
      <w:pPr>
        <w:numPr>
          <w:ilvl w:val="3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中度：中等（</w:t>
      </w:r>
      <w:r>
        <w:rPr>
          <w:rFonts w:ascii="微軟正黑體" w:eastAsia="微軟正黑體" w:hAnsi="微軟正黑體" w:cs="Calibri" w:hint="eastAsia"/>
          <w:sz w:val="22"/>
          <w:szCs w:val="22"/>
        </w:rPr>
        <w:t>40.3%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873AC" w:rsidRDefault="00C873AC">
      <w:pPr>
        <w:numPr>
          <w:ilvl w:val="3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重度：較高（</w:t>
      </w:r>
      <w:r>
        <w:rPr>
          <w:rFonts w:ascii="微軟正黑體" w:eastAsia="微軟正黑體" w:hAnsi="微軟正黑體" w:cs="Calibri" w:hint="eastAsia"/>
          <w:sz w:val="22"/>
          <w:szCs w:val="22"/>
        </w:rPr>
        <w:t>46.1%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873AC" w:rsidRDefault="00C873AC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但重點是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病患死亡多是因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nonpulmonary causes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sepsis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nonpulmonary organ failure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造成的死亡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&gt;80%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C873AC" w:rsidRDefault="00C873AC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影響死亡率的因素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45"/>
        <w:gridCol w:w="4981"/>
      </w:tblGrid>
      <w:tr w:rsidR="00000000">
        <w:trPr>
          <w:divId w:val="1929657791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</w:t>
            </w:r>
          </w:p>
        </w:tc>
        <w:tc>
          <w:tcPr>
            <w:tcW w:w="5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26"/>
              </w:numPr>
              <w:textAlignment w:val="center"/>
              <w:rPr>
                <w:rFonts w:hint="eastAsia"/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年齡越大，死亡率越高</w:t>
            </w:r>
          </w:p>
          <w:p w:rsidR="00C873AC" w:rsidRDefault="00C873AC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歲，死亡率約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&gt;45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歲，死亡率約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20%</w:t>
            </w:r>
          </w:p>
        </w:tc>
      </w:tr>
      <w:tr w:rsidR="00000000">
        <w:trPr>
          <w:divId w:val="1929657791"/>
        </w:trPr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原有之慢性疾病</w:t>
            </w:r>
          </w:p>
        </w:tc>
        <w:tc>
          <w:tcPr>
            <w:tcW w:w="5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27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慢性肝臟疾病、酒精濫用、免疫抑制狀態預後較差</w:t>
            </w:r>
          </w:p>
        </w:tc>
      </w:tr>
      <w:tr w:rsidR="00000000">
        <w:trPr>
          <w:divId w:val="1929657791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5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873AC" w:rsidRDefault="00C873AC">
            <w:pPr>
              <w:numPr>
                <w:ilvl w:val="1"/>
                <w:numId w:val="2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Direct lung injury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pneumonia, pulmonary contusion,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aspiration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）導致的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indirect cause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死亡率高</w:t>
            </w:r>
          </w:p>
          <w:p w:rsidR="00C873AC" w:rsidRDefault="00C873AC">
            <w:pPr>
              <w:numPr>
                <w:ilvl w:val="1"/>
                <w:numId w:val="2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手術或創傷引發的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比其他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患者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survival 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</w:t>
            </w:r>
          </w:p>
        </w:tc>
      </w:tr>
    </w:tbl>
    <w:p w:rsidR="00C873AC" w:rsidRDefault="00C873AC">
      <w:pPr>
        <w:numPr>
          <w:ilvl w:val="0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存活後的長期後遺症（</w:t>
      </w:r>
      <w:r>
        <w:rPr>
          <w:rFonts w:ascii="微軟正黑體" w:eastAsia="微軟正黑體" w:hAnsi="微軟正黑體" w:cs="Calibri" w:hint="eastAsia"/>
          <w:sz w:val="28"/>
          <w:szCs w:val="28"/>
        </w:rPr>
        <w:t>Long-term Sequelae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C873AC" w:rsidRDefault="00C873AC">
      <w:pPr>
        <w:numPr>
          <w:ilvl w:val="1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肺功能</w:t>
      </w:r>
    </w:p>
    <w:p w:rsidR="00C873AC" w:rsidRDefault="00C873AC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多數患者在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年內</w:t>
      </w:r>
      <w:r>
        <w:rPr>
          <w:rFonts w:ascii="微軟正黑體" w:eastAsia="微軟正黑體" w:hAnsi="微軟正黑體" w:cs="Calibri" w:hint="eastAsia"/>
          <w:sz w:val="22"/>
          <w:szCs w:val="22"/>
        </w:rPr>
        <w:t>肺功能可大致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恢復接近正常</w:t>
      </w:r>
    </w:p>
    <w:p w:rsidR="00C873AC" w:rsidRDefault="00C873AC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肺功能的恢復與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sz w:val="22"/>
          <w:szCs w:val="22"/>
        </w:rPr>
        <w:t>早期肺部傷害的嚴重程度有高度相關</w:t>
      </w:r>
    </w:p>
    <w:p w:rsidR="00C873AC" w:rsidRDefault="00C873AC">
      <w:pPr>
        <w:numPr>
          <w:ilvl w:val="3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使用呼吸器時需較高的</w:t>
      </w:r>
      <w:r>
        <w:rPr>
          <w:rFonts w:ascii="微軟正黑體" w:eastAsia="微軟正黑體" w:hAnsi="微軟正黑體" w:cs="Calibri" w:hint="eastAsia"/>
          <w:sz w:val="22"/>
          <w:szCs w:val="22"/>
        </w:rPr>
        <w:t>PEEP</w:t>
      </w:r>
      <w:r>
        <w:rPr>
          <w:rFonts w:ascii="微軟正黑體" w:eastAsia="微軟正黑體" w:hAnsi="微軟正黑體" w:cs="Calibri" w:hint="eastAsia"/>
          <w:sz w:val="22"/>
          <w:szCs w:val="22"/>
        </w:rPr>
        <w:t>、使用呼吸器較久、</w:t>
      </w:r>
      <w:r>
        <w:rPr>
          <w:rFonts w:ascii="微軟正黑體" w:eastAsia="微軟正黑體" w:hAnsi="微軟正黑體" w:cs="Calibri" w:hint="eastAsia"/>
          <w:sz w:val="22"/>
          <w:szCs w:val="22"/>
        </w:rPr>
        <w:t>lung injury scores</w:t>
      </w:r>
      <w:r>
        <w:rPr>
          <w:rFonts w:ascii="微軟正黑體" w:eastAsia="微軟正黑體" w:hAnsi="微軟正黑體" w:cs="Calibri" w:hint="eastAsia"/>
          <w:sz w:val="22"/>
          <w:szCs w:val="22"/>
        </w:rPr>
        <w:t>分數較高的病人，肺功能恢復較差</w:t>
      </w:r>
    </w:p>
    <w:p w:rsidR="00C873AC" w:rsidRDefault="00C873AC">
      <w:pPr>
        <w:numPr>
          <w:ilvl w:val="1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體能與活動耐力</w:t>
      </w:r>
    </w:p>
    <w:p w:rsidR="00C873AC" w:rsidRDefault="00C873AC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大部分病人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即使肺功能恢復，仍有運動耐力下降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exercise limitation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873AC" w:rsidRDefault="00C873AC">
      <w:pPr>
        <w:numPr>
          <w:ilvl w:val="1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心理與認知功能</w:t>
      </w:r>
    </w:p>
    <w:p w:rsidR="00C873AC" w:rsidRDefault="00C873AC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存活者常見有認知障礙、焦慮、憂鬱或創傷後壓力症候群（</w:t>
      </w:r>
      <w:r>
        <w:rPr>
          <w:rFonts w:ascii="微軟正黑體" w:eastAsia="微軟正黑體" w:hAnsi="微軟正黑體" w:cs="Calibri" w:hint="eastAsia"/>
          <w:sz w:val="22"/>
          <w:szCs w:val="22"/>
        </w:rPr>
        <w:t>PTSD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873AC" w:rsidRDefault="00C873AC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28"/>
          <w:szCs w:val="28"/>
        </w:rPr>
      </w:pPr>
      <w:r>
        <w:rPr>
          <w:rFonts w:ascii="Calibri" w:eastAsia="Microsoft JhengHei Light" w:hAnsi="Calibri" w:cs="Calibri"/>
          <w:sz w:val="28"/>
          <w:szCs w:val="28"/>
        </w:rPr>
        <w:t> </w:t>
      </w:r>
    </w:p>
    <w:p w:rsidR="00C873AC" w:rsidRDefault="00C873AC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C873AC" w:rsidRDefault="00C873AC">
      <w:pPr>
        <w:numPr>
          <w:ilvl w:val="0"/>
          <w:numId w:val="3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21st Edition.</w:t>
      </w:r>
    </w:p>
    <w:p w:rsidR="00C873AC" w:rsidRDefault="00C873AC">
      <w:pPr>
        <w:numPr>
          <w:ilvl w:val="0"/>
          <w:numId w:val="3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73AC" w:rsidRDefault="00C873AC" w:rsidP="00C873AC">
      <w:r>
        <w:separator/>
      </w:r>
    </w:p>
  </w:endnote>
  <w:endnote w:type="continuationSeparator" w:id="0">
    <w:p w:rsidR="00C873AC" w:rsidRDefault="00C873AC" w:rsidP="00C87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73AC" w:rsidRDefault="00C873AC" w:rsidP="00C873AC">
      <w:r>
        <w:separator/>
      </w:r>
    </w:p>
  </w:footnote>
  <w:footnote w:type="continuationSeparator" w:id="0">
    <w:p w:rsidR="00C873AC" w:rsidRDefault="00C873AC" w:rsidP="00C873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10C"/>
    <w:multiLevelType w:val="multilevel"/>
    <w:tmpl w:val="1000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12B85"/>
    <w:multiLevelType w:val="multilevel"/>
    <w:tmpl w:val="71F2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244D7"/>
    <w:multiLevelType w:val="multilevel"/>
    <w:tmpl w:val="722A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435B7"/>
    <w:multiLevelType w:val="multilevel"/>
    <w:tmpl w:val="EB52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2A4D8F"/>
    <w:multiLevelType w:val="multilevel"/>
    <w:tmpl w:val="7234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53092"/>
    <w:multiLevelType w:val="multilevel"/>
    <w:tmpl w:val="0FD8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F4F0C"/>
    <w:multiLevelType w:val="multilevel"/>
    <w:tmpl w:val="7A56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C337D"/>
    <w:multiLevelType w:val="multilevel"/>
    <w:tmpl w:val="1902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240743"/>
    <w:multiLevelType w:val="multilevel"/>
    <w:tmpl w:val="9BC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100FF"/>
    <w:multiLevelType w:val="multilevel"/>
    <w:tmpl w:val="D1B2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731F23"/>
    <w:multiLevelType w:val="multilevel"/>
    <w:tmpl w:val="4F0A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B6FFE"/>
    <w:multiLevelType w:val="multilevel"/>
    <w:tmpl w:val="48EE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E5E06"/>
    <w:multiLevelType w:val="multilevel"/>
    <w:tmpl w:val="A79C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04A64"/>
    <w:multiLevelType w:val="multilevel"/>
    <w:tmpl w:val="5F96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B2BE0"/>
    <w:multiLevelType w:val="multilevel"/>
    <w:tmpl w:val="CFAE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D2355"/>
    <w:multiLevelType w:val="multilevel"/>
    <w:tmpl w:val="4632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73D7C"/>
    <w:multiLevelType w:val="multilevel"/>
    <w:tmpl w:val="18D4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31657"/>
    <w:multiLevelType w:val="multilevel"/>
    <w:tmpl w:val="8D0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1498E"/>
    <w:multiLevelType w:val="multilevel"/>
    <w:tmpl w:val="2B24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0F0F5B"/>
    <w:multiLevelType w:val="multilevel"/>
    <w:tmpl w:val="AACE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E05FE0"/>
    <w:multiLevelType w:val="multilevel"/>
    <w:tmpl w:val="AFAE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0165E1"/>
    <w:multiLevelType w:val="multilevel"/>
    <w:tmpl w:val="6E2C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5633E8"/>
    <w:multiLevelType w:val="multilevel"/>
    <w:tmpl w:val="03BC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C7128C"/>
    <w:multiLevelType w:val="multilevel"/>
    <w:tmpl w:val="8B96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34568"/>
    <w:multiLevelType w:val="multilevel"/>
    <w:tmpl w:val="EC784A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6F0F6DEE"/>
    <w:multiLevelType w:val="multilevel"/>
    <w:tmpl w:val="068E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D03D4E"/>
    <w:multiLevelType w:val="multilevel"/>
    <w:tmpl w:val="4E1E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3513A00"/>
    <w:multiLevelType w:val="multilevel"/>
    <w:tmpl w:val="A0F4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E6F66"/>
    <w:multiLevelType w:val="multilevel"/>
    <w:tmpl w:val="BAEA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DB1471A"/>
    <w:multiLevelType w:val="multilevel"/>
    <w:tmpl w:val="E0D2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672419">
    <w:abstractNumId w:val="3"/>
  </w:num>
  <w:num w:numId="2" w16cid:durableId="150223302">
    <w:abstractNumId w:val="20"/>
  </w:num>
  <w:num w:numId="3" w16cid:durableId="437218277">
    <w:abstractNumId w:val="13"/>
  </w:num>
  <w:num w:numId="4" w16cid:durableId="2010937061">
    <w:abstractNumId w:val="2"/>
  </w:num>
  <w:num w:numId="5" w16cid:durableId="115759871">
    <w:abstractNumId w:val="25"/>
  </w:num>
  <w:num w:numId="6" w16cid:durableId="1070494413">
    <w:abstractNumId w:val="11"/>
  </w:num>
  <w:num w:numId="7" w16cid:durableId="1358241461">
    <w:abstractNumId w:val="28"/>
  </w:num>
  <w:num w:numId="8" w16cid:durableId="347367955">
    <w:abstractNumId w:val="14"/>
  </w:num>
  <w:num w:numId="9" w16cid:durableId="1055928515">
    <w:abstractNumId w:val="10"/>
  </w:num>
  <w:num w:numId="10" w16cid:durableId="1107122768">
    <w:abstractNumId w:val="21"/>
  </w:num>
  <w:num w:numId="11" w16cid:durableId="248730902">
    <w:abstractNumId w:val="29"/>
  </w:num>
  <w:num w:numId="12" w16cid:durableId="291330932">
    <w:abstractNumId w:val="27"/>
  </w:num>
  <w:num w:numId="13" w16cid:durableId="384959287">
    <w:abstractNumId w:val="15"/>
  </w:num>
  <w:num w:numId="14" w16cid:durableId="2126775849">
    <w:abstractNumId w:val="6"/>
  </w:num>
  <w:num w:numId="15" w16cid:durableId="174420093">
    <w:abstractNumId w:val="7"/>
  </w:num>
  <w:num w:numId="16" w16cid:durableId="894857349">
    <w:abstractNumId w:val="12"/>
  </w:num>
  <w:num w:numId="17" w16cid:durableId="1707607955">
    <w:abstractNumId w:val="23"/>
  </w:num>
  <w:num w:numId="18" w16cid:durableId="1663044664">
    <w:abstractNumId w:val="19"/>
  </w:num>
  <w:num w:numId="19" w16cid:durableId="968172052">
    <w:abstractNumId w:val="1"/>
  </w:num>
  <w:num w:numId="20" w16cid:durableId="268437427">
    <w:abstractNumId w:val="0"/>
  </w:num>
  <w:num w:numId="21" w16cid:durableId="497887829">
    <w:abstractNumId w:val="5"/>
  </w:num>
  <w:num w:numId="22" w16cid:durableId="287929745">
    <w:abstractNumId w:val="18"/>
  </w:num>
  <w:num w:numId="23" w16cid:durableId="584146876">
    <w:abstractNumId w:val="8"/>
  </w:num>
  <w:num w:numId="24" w16cid:durableId="1545755403">
    <w:abstractNumId w:val="4"/>
  </w:num>
  <w:num w:numId="25" w16cid:durableId="1435175083">
    <w:abstractNumId w:val="26"/>
  </w:num>
  <w:num w:numId="26" w16cid:durableId="2142963247">
    <w:abstractNumId w:val="17"/>
  </w:num>
  <w:num w:numId="27" w16cid:durableId="1932808392">
    <w:abstractNumId w:val="22"/>
  </w:num>
  <w:num w:numId="28" w16cid:durableId="32654189">
    <w:abstractNumId w:val="16"/>
  </w:num>
  <w:num w:numId="29" w16cid:durableId="1064261314">
    <w:abstractNumId w:val="24"/>
  </w:num>
  <w:num w:numId="30" w16cid:durableId="1057436171">
    <w:abstractNumId w:val="9"/>
    <w:lvlOverride w:ilvl="0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3AC"/>
    <w:rsid w:val="009E69E9"/>
    <w:rsid w:val="00C8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5EB71DE-8713-44A7-9C16-65DBC4727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873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873A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873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873A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733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3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7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6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2025-07-29T02:08:00Z</dcterms:created>
  <dcterms:modified xsi:type="dcterms:W3CDTF">2025-07-29T02:08:00Z</dcterms:modified>
</cp:coreProperties>
</file>