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31AA" w:rsidRDefault="000731AA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TRALI</w:t>
      </w:r>
    </w:p>
    <w:p w:rsidR="000731AA" w:rsidRDefault="000731A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0731AA" w:rsidRDefault="000731A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0731AA" w:rsidRDefault="000731A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731AA" w:rsidRDefault="000731A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731AA" w:rsidRDefault="000731A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731AA" w:rsidRDefault="000731A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731AA" w:rsidRDefault="000731A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731AA" w:rsidRDefault="000731A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731AA" w:rsidRDefault="000731A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731AA" w:rsidRDefault="000731A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0731AA" w:rsidRDefault="000731A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Transfusion-Related </w:t>
      </w:r>
      <w:r>
        <w:rPr>
          <w:rFonts w:ascii="微軟正黑體" w:eastAsia="微軟正黑體" w:hAnsi="微軟正黑體" w:cs="Calibri" w:hint="eastAsia"/>
          <w:sz w:val="28"/>
          <w:szCs w:val="28"/>
        </w:rPr>
        <w:t>Acute Lung Injury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TRALI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是一臨床症候群，屬於非心源性肺水腫，定義為輸注含血漿的血液製品後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6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小時內</w:t>
      </w:r>
      <w:r>
        <w:rPr>
          <w:rFonts w:ascii="微軟正黑體" w:eastAsia="微軟正黑體" w:hAnsi="微軟正黑體" w:cs="Calibri" w:hint="eastAsia"/>
          <w:sz w:val="28"/>
          <w:szCs w:val="28"/>
        </w:rPr>
        <w:t>，出現急性肺損傷（</w:t>
      </w:r>
      <w:r>
        <w:rPr>
          <w:rFonts w:ascii="微軟正黑體" w:eastAsia="微軟正黑體" w:hAnsi="微軟正黑體" w:cs="Calibri" w:hint="eastAsia"/>
          <w:sz w:val="28"/>
          <w:szCs w:val="28"/>
        </w:rPr>
        <w:t>ALI</w:t>
      </w:r>
      <w:r>
        <w:rPr>
          <w:rFonts w:ascii="微軟正黑體" w:eastAsia="微軟正黑體" w:hAnsi="微軟正黑體" w:cs="Calibri" w:hint="eastAsia"/>
          <w:sz w:val="28"/>
          <w:szCs w:val="28"/>
        </w:rPr>
        <w:t>）的症狀。特徵包括：</w:t>
      </w:r>
    </w:p>
    <w:p w:rsidR="000731AA" w:rsidRDefault="000731AA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急性呼吸困難</w:t>
      </w:r>
    </w:p>
    <w:p w:rsidR="000731AA" w:rsidRDefault="000731AA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低氧血症</w:t>
      </w:r>
    </w:p>
    <w:p w:rsidR="000731AA" w:rsidRDefault="000731AA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光顯示雙側肺部浸潤</w:t>
      </w:r>
    </w:p>
    <w:p w:rsidR="000731AA" w:rsidRDefault="000731AA">
      <w:pPr>
        <w:numPr>
          <w:ilvl w:val="0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</w:t>
      </w:r>
    </w:p>
    <w:p w:rsidR="000731AA" w:rsidRDefault="000731A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TRALI</w:t>
      </w:r>
      <w:r>
        <w:rPr>
          <w:rFonts w:ascii="微軟正黑體" w:eastAsia="微軟正黑體" w:hAnsi="微軟正黑體" w:cs="Calibri" w:hint="eastAsia"/>
          <w:sz w:val="28"/>
          <w:szCs w:val="28"/>
        </w:rPr>
        <w:t>是因輸血引起的瀰漫性肺損傷所導致，其致病原因可用二次打擊模型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(Two-hit Model) </w:t>
      </w:r>
      <w:r>
        <w:rPr>
          <w:rFonts w:ascii="微軟正黑體" w:eastAsia="微軟正黑體" w:hAnsi="微軟正黑體" w:cs="Calibri" w:hint="eastAsia"/>
          <w:sz w:val="28"/>
          <w:szCs w:val="28"/>
        </w:rPr>
        <w:t>來解釋：</w:t>
      </w:r>
    </w:p>
    <w:p w:rsidR="000731AA" w:rsidRDefault="000731AA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第一次打擊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(Baseline)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</w:p>
    <w:p w:rsidR="000731AA" w:rsidRDefault="000731A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慢性酒精濫用、休克、肝臟手術、吸煙、機械通氣時較高的氣道壓力、血管內體液正平衡、低</w:t>
      </w:r>
      <w:r>
        <w:rPr>
          <w:rFonts w:ascii="微軟正黑體" w:eastAsia="微軟正黑體" w:hAnsi="微軟正黑體" w:cs="Calibri" w:hint="eastAsia"/>
          <w:sz w:val="22"/>
          <w:szCs w:val="22"/>
        </w:rPr>
        <w:t>IL-10</w:t>
      </w:r>
      <w:r>
        <w:rPr>
          <w:rFonts w:ascii="微軟正黑體" w:eastAsia="微軟正黑體" w:hAnsi="微軟正黑體" w:cs="Calibri" w:hint="eastAsia"/>
          <w:sz w:val="22"/>
          <w:szCs w:val="22"/>
        </w:rPr>
        <w:t>水平，以及全身性發炎。</w:t>
      </w:r>
    </w:p>
    <w:p w:rsidR="000731AA" w:rsidRDefault="000731AA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第二次打擊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輸血相關因素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0731AA" w:rsidRDefault="000731A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抗白血球抗體（約</w:t>
      </w:r>
      <w:r>
        <w:rPr>
          <w:rFonts w:ascii="微軟正黑體" w:eastAsia="微軟正黑體" w:hAnsi="微軟正黑體" w:cs="Calibri" w:hint="eastAsia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的病例）</w:t>
      </w:r>
      <w:r>
        <w:rPr>
          <w:rFonts w:ascii="微軟正黑體" w:eastAsia="微軟正黑體" w:hAnsi="微軟正黑體" w:cs="Calibri" w:hint="eastAsia"/>
          <w:sz w:val="22"/>
          <w:szCs w:val="22"/>
        </w:rPr>
        <w:t>: Anti-HLA class I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Anti-HLA class II</w:t>
      </w:r>
      <w:r>
        <w:rPr>
          <w:rFonts w:ascii="微軟正黑體" w:eastAsia="微軟正黑體" w:hAnsi="微軟正黑體" w:cs="Calibri" w:hint="eastAsia"/>
          <w:sz w:val="22"/>
          <w:szCs w:val="22"/>
        </w:rPr>
        <w:t>以及</w:t>
      </w:r>
      <w:r>
        <w:rPr>
          <w:rFonts w:ascii="微軟正黑體" w:eastAsia="微軟正黑體" w:hAnsi="微軟正黑體" w:cs="Calibri" w:hint="eastAsia"/>
          <w:sz w:val="22"/>
          <w:szCs w:val="22"/>
        </w:rPr>
        <w:t>Anti-HNA</w:t>
      </w:r>
      <w:r>
        <w:rPr>
          <w:rFonts w:ascii="微軟正黑體" w:eastAsia="微軟正黑體" w:hAnsi="微軟正黑體" w:cs="Calibri" w:hint="eastAsia"/>
          <w:sz w:val="22"/>
          <w:szCs w:val="22"/>
        </w:rPr>
        <w:t>抗體</w:t>
      </w:r>
    </w:p>
    <w:p w:rsidR="000731AA" w:rsidRDefault="000731A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非抗體因素（約</w:t>
      </w:r>
      <w:r>
        <w:rPr>
          <w:rFonts w:ascii="微軟正黑體" w:eastAsia="微軟正黑體" w:hAnsi="微軟正黑體" w:cs="Calibri" w:hint="eastAsia"/>
          <w:sz w:val="22"/>
          <w:szCs w:val="22"/>
        </w:rPr>
        <w:t>20%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: </w:t>
      </w:r>
      <w:r>
        <w:rPr>
          <w:rFonts w:ascii="微軟正黑體" w:eastAsia="微軟正黑體" w:hAnsi="微軟正黑體" w:cs="Calibri" w:hint="eastAsia"/>
          <w:sz w:val="22"/>
          <w:szCs w:val="22"/>
        </w:rPr>
        <w:t>脂質介質、細胞外囊泡和老化血細胞</w:t>
      </w:r>
    </w:p>
    <w:p w:rsidR="000731AA" w:rsidRDefault="000731AA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透過第一次打擊，使白血球聚集於肺部血管。於第二次打擊時，造成嚴重發炎反應，使肺部微血管膜通透性上升</w:t>
      </w:r>
    </w:p>
    <w:p w:rsidR="000731AA" w:rsidRDefault="000731AA">
      <w:pPr>
        <w:numPr>
          <w:ilvl w:val="0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lastRenderedPageBreak/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2019 Canadian Consensus Conference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5"/>
        <w:gridCol w:w="6421"/>
      </w:tblGrid>
      <w:tr w:rsidR="00000000">
        <w:trPr>
          <w:divId w:val="2080597131"/>
        </w:trPr>
        <w:tc>
          <w:tcPr>
            <w:tcW w:w="1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6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2080597131"/>
        </w:trPr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 1 TRALI</w:t>
            </w:r>
          </w:p>
        </w:tc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numPr>
                <w:ilvl w:val="1"/>
                <w:numId w:val="2"/>
              </w:numPr>
              <w:spacing w:line="300" w:lineRule="atLeast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輸血後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小時內急性發作</w:t>
            </w:r>
          </w:p>
          <w:p w:rsidR="000731AA" w:rsidRDefault="000731AA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PaO2/FiO2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或室內空氣下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SpO2 &lt; 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0731AA" w:rsidRDefault="000731AA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影像學檢查（胸部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或超音波）顯示雙側肺水腫</w:t>
            </w:r>
          </w:p>
          <w:p w:rsidR="000731AA" w:rsidRDefault="000731AA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無左心房高壓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(LAH)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證據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(Non-cardiogenic)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，即使存在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也非低血氧的主要原因</w:t>
            </w:r>
          </w:p>
          <w:p w:rsidR="000731AA" w:rsidRDefault="000731AA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與其他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風險因素無時間相關性</w:t>
            </w:r>
          </w:p>
        </w:tc>
      </w:tr>
      <w:tr w:rsidR="00000000">
        <w:trPr>
          <w:divId w:val="2080597131"/>
        </w:trPr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 2 </w:t>
            </w:r>
          </w:p>
          <w:p w:rsidR="000731AA" w:rsidRDefault="000731AA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TRALI</w:t>
            </w:r>
          </w:p>
        </w:tc>
        <w:tc>
          <w:tcPr>
            <w:tcW w:w="6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numPr>
                <w:ilvl w:val="1"/>
                <w:numId w:val="3"/>
              </w:numPr>
              <w:spacing w:line="300" w:lineRule="atLeast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符合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TRALI type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的前四項臨床標準</w:t>
            </w:r>
          </w:p>
          <w:p w:rsidR="000731AA" w:rsidRDefault="000731AA">
            <w:pPr>
              <w:numPr>
                <w:ilvl w:val="1"/>
                <w:numId w:val="3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存在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風險因素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或輕度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P/F ratio : 200~300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0731AA" w:rsidRDefault="000731AA">
            <w:pPr>
              <w:numPr>
                <w:ilvl w:val="1"/>
                <w:numId w:val="3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輸血前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小時內肺部狀態穩定</w:t>
            </w:r>
          </w:p>
        </w:tc>
      </w:tr>
    </w:tbl>
    <w:p w:rsidR="000731AA" w:rsidRDefault="000731AA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0731AA" w:rsidRDefault="000731A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停止輸送可疑血品</w:t>
      </w:r>
    </w:p>
    <w:p w:rsidR="000731AA" w:rsidRDefault="000731A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支持性治療，必要時使用機械通氣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參考</w:t>
      </w: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治療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，並血液動力學穩定</w:t>
      </w:r>
    </w:p>
    <w:p w:rsidR="000731AA" w:rsidRDefault="000731A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不建議常規使用類固醇</w:t>
      </w:r>
      <w:r>
        <w:rPr>
          <w:rFonts w:ascii="微軟正黑體" w:eastAsia="微軟正黑體" w:hAnsi="微軟正黑體" w:cs="Calibri" w:hint="eastAsia"/>
          <w:sz w:val="28"/>
          <w:szCs w:val="28"/>
        </w:rPr>
        <w:t>，缺乏足夠臨床研究支持其效果</w:t>
      </w:r>
    </w:p>
    <w:p w:rsidR="000731AA" w:rsidRDefault="000731AA">
      <w:pPr>
        <w:pStyle w:val="Web"/>
        <w:spacing w:before="120" w:beforeAutospacing="0" w:after="120" w:afterAutospacing="0" w:line="360" w:lineRule="atLeast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0731AA" w:rsidRDefault="000731AA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預後</w:t>
      </w:r>
    </w:p>
    <w:p w:rsidR="000731AA" w:rsidRDefault="000731AA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大多數患者在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24-48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小時內會改善</w:t>
      </w:r>
    </w:p>
    <w:p w:rsidR="000731AA" w:rsidRDefault="000731AA">
      <w:pPr>
        <w:numPr>
          <w:ilvl w:val="1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通常是自限性疾病</w:t>
      </w:r>
    </w:p>
    <w:p w:rsidR="000731AA" w:rsidRDefault="000731AA">
      <w:pPr>
        <w:numPr>
          <w:ilvl w:val="1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死亡率：</w:t>
      </w:r>
    </w:p>
    <w:p w:rsidR="000731AA" w:rsidRDefault="000731AA">
      <w:pPr>
        <w:numPr>
          <w:ilvl w:val="2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重症患者的存活率約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53%</w:t>
      </w:r>
    </w:p>
    <w:p w:rsidR="000731AA" w:rsidRDefault="000731AA">
      <w:pPr>
        <w:numPr>
          <w:ilvl w:val="2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相較於一般急性肺損傷患者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存活率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83%)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明顯較低</w:t>
      </w:r>
    </w:p>
    <w:p w:rsidR="000731AA" w:rsidRDefault="000731AA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預防策略</w:t>
      </w:r>
    </w:p>
    <w:p w:rsidR="000731AA" w:rsidRDefault="000731AA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使用男性或未妊娠女性的血液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懷孕使產生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anti-HLA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抗體機會增加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)</w:t>
      </w:r>
    </w:p>
    <w:p w:rsidR="000731AA" w:rsidRDefault="000731AA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使用洗滌且新鮮的血品</w:t>
      </w:r>
    </w:p>
    <w:p w:rsidR="000731AA" w:rsidRDefault="000731AA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捐血者若有引起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TRALI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的病例應通報</w:t>
      </w:r>
    </w:p>
    <w:p w:rsidR="000731AA" w:rsidRDefault="000731AA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與</w:t>
      </w:r>
      <w:r>
        <w:rPr>
          <w:rFonts w:ascii="微軟正黑體" w:eastAsia="微軟正黑體" w:hAnsi="微軟正黑體" w:cs="Calibri" w:hint="eastAsia"/>
          <w:sz w:val="32"/>
          <w:szCs w:val="32"/>
        </w:rPr>
        <w:t>TACO(Transfusion-Associated Circulatory Overload)</w:t>
      </w:r>
      <w:r>
        <w:rPr>
          <w:rFonts w:ascii="微軟正黑體" w:eastAsia="微軟正黑體" w:hAnsi="微軟正黑體" w:cs="Calibri" w:hint="eastAsia"/>
          <w:sz w:val="32"/>
          <w:szCs w:val="32"/>
        </w:rPr>
        <w:t>比較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3"/>
        <w:gridCol w:w="3126"/>
        <w:gridCol w:w="2027"/>
      </w:tblGrid>
      <w:tr w:rsidR="00000000">
        <w:trPr>
          <w:divId w:val="161043433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特徵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TRALI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TACO</w:t>
            </w:r>
          </w:p>
        </w:tc>
      </w:tr>
      <w:tr w:rsidR="00000000">
        <w:trPr>
          <w:divId w:val="161043433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病理機制</w:t>
            </w:r>
          </w:p>
        </w:tc>
        <w:tc>
          <w:tcPr>
            <w:tcW w:w="3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非心源性肺水腫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抗體或非抗體介導的發炎反應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肺部微血管通透性增加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心源性肺水腫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體液過量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左心房壓力升高</w:t>
            </w:r>
          </w:p>
        </w:tc>
      </w:tr>
      <w:tr w:rsidR="00000000">
        <w:trPr>
          <w:divId w:val="161043433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臨床表現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輸血後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小時內發生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雙側肺浸潤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無左心房高壓證據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可能出現發燒</w:t>
            </w:r>
          </w:p>
        </w:tc>
        <w:tc>
          <w:tcPr>
            <w:tcW w:w="2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循環負荷過重表現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左心衰竭表現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血壓可能升高</w:t>
            </w:r>
          </w:p>
        </w:tc>
      </w:tr>
      <w:tr w:rsidR="00000000">
        <w:trPr>
          <w:divId w:val="1610434338"/>
        </w:trPr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CXR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特徵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其實就是</w:t>
            </w:r>
          </w:p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non-cardiogenic vs </w:t>
            </w:r>
          </w:p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cardiogenic pulmonary </w:t>
            </w:r>
          </w:p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edema)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雙側對稱性浸潤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正常心臟大小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無肺門充血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無胸腔積液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心臟擴大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肺門充血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可見胸腔積液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Kerley B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線</w:t>
            </w:r>
          </w:p>
        </w:tc>
      </w:tr>
      <w:tr w:rsidR="00000000">
        <w:trPr>
          <w:divId w:val="161043433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治療方式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支持性治療為主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維持氧氣供應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利尿劑無效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停止輸血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使用利尿劑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降低前負荷</w:t>
            </w:r>
          </w:p>
        </w:tc>
      </w:tr>
      <w:tr w:rsidR="00000000">
        <w:trPr>
          <w:divId w:val="161043433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預防策略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篩查高風險供血者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優先使用男性供血者血漿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避免多次妊娠女性血製品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控制輸血速度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監測輸血量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評估心功能狀態</w:t>
            </w:r>
          </w:p>
        </w:tc>
      </w:tr>
      <w:tr w:rsidR="00000000">
        <w:trPr>
          <w:divId w:val="161043433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預後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24-48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小時內可能改善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重症患者存活率約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53%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通常為自限性</w:t>
            </w:r>
          </w:p>
        </w:tc>
        <w:tc>
          <w:tcPr>
            <w:tcW w:w="2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31AA" w:rsidRDefault="000731A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對治療反應較好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及時處理預後良好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取決於基礎心功能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</w:tbl>
    <w:p w:rsidR="000731AA" w:rsidRDefault="000731AA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048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1AA" w:rsidRDefault="000731AA">
      <w:pPr>
        <w:numPr>
          <w:ilvl w:val="0"/>
          <w:numId w:val="6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sz w:val="32"/>
          <w:szCs w:val="32"/>
        </w:rPr>
        <w:t>參考資料</w:t>
      </w:r>
    </w:p>
    <w:p w:rsidR="000731AA" w:rsidRDefault="000731AA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 xml:space="preserve">Semple JW, Rebetz J, Kapur R. Transfusion-associated </w:t>
      </w: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circulatory overload and transfusion-related acute lung injury. Blood. 2019 Apr 25;133(17):1840-1853. doi: 10.1182/blood-2018-10-860809</w:t>
      </w:r>
    </w:p>
    <w:p w:rsidR="000731AA" w:rsidRDefault="000731AA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Tung JP, Chiaretti S, Dean MM, Sultana AJ, Reade MC, Fung YL. Transfusion-related acute lung injury (TRALI): Potential pathways of development, strategies for prevention and treatment, and future research directions. Blood Rev. 2022 May;53:100926. doi: 10.1016/j.blre.2021.100926</w:t>
      </w:r>
    </w:p>
    <w:p w:rsidR="000731AA" w:rsidRDefault="000731AA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Goel R, Tobian AAR, Shaz BH. Noninfectious transfusion-associated adverse events and their mitigation strategies. Blood. 2019 Apr 25;133(17):1831-1839. doi: 10.1182/blood-2018-10-833988</w:t>
      </w:r>
    </w:p>
    <w:p w:rsidR="000731AA" w:rsidRDefault="000731A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31AA" w:rsidRDefault="000731AA" w:rsidP="000731AA">
      <w:r>
        <w:separator/>
      </w:r>
    </w:p>
  </w:endnote>
  <w:endnote w:type="continuationSeparator" w:id="0">
    <w:p w:rsidR="000731AA" w:rsidRDefault="000731AA" w:rsidP="00073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31AA" w:rsidRDefault="000731AA" w:rsidP="000731AA">
      <w:r>
        <w:separator/>
      </w:r>
    </w:p>
  </w:footnote>
  <w:footnote w:type="continuationSeparator" w:id="0">
    <w:p w:rsidR="000731AA" w:rsidRDefault="000731AA" w:rsidP="00073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7C8"/>
    <w:multiLevelType w:val="multilevel"/>
    <w:tmpl w:val="6C3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44898"/>
    <w:multiLevelType w:val="multilevel"/>
    <w:tmpl w:val="7FC0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01DB4"/>
    <w:multiLevelType w:val="multilevel"/>
    <w:tmpl w:val="5F4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B4DE4"/>
    <w:multiLevelType w:val="multilevel"/>
    <w:tmpl w:val="81BE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4A01CD"/>
    <w:multiLevelType w:val="multilevel"/>
    <w:tmpl w:val="922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8C27EB"/>
    <w:multiLevelType w:val="multilevel"/>
    <w:tmpl w:val="25FE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988704">
    <w:abstractNumId w:val="3"/>
  </w:num>
  <w:num w:numId="2" w16cid:durableId="1211648048">
    <w:abstractNumId w:val="2"/>
  </w:num>
  <w:num w:numId="3" w16cid:durableId="91555095">
    <w:abstractNumId w:val="1"/>
  </w:num>
  <w:num w:numId="4" w16cid:durableId="988628661">
    <w:abstractNumId w:val="5"/>
  </w:num>
  <w:num w:numId="5" w16cid:durableId="1551455434">
    <w:abstractNumId w:val="4"/>
  </w:num>
  <w:num w:numId="6" w16cid:durableId="74228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AA"/>
    <w:rsid w:val="000731AA"/>
    <w:rsid w:val="00F7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3A5FB07-6F0E-4AA3-81B2-1542C036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731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731A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731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731A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434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7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