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665" w:rsidRDefault="00DA2665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變異型心絞痛（</w:t>
      </w:r>
      <w:r>
        <w:rPr>
          <w:rFonts w:ascii="Calibri Light" w:hAnsi="Calibri Light" w:cs="Calibri Light"/>
          <w:color w:val="000000"/>
          <w:sz w:val="40"/>
          <w:szCs w:val="40"/>
        </w:rPr>
        <w:t>Variant Angina / Prinzmetal Angina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）</w:t>
      </w:r>
    </w:p>
    <w:p w:rsidR="00DA2665" w:rsidRDefault="00DA266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29, 2025</w:t>
      </w:r>
    </w:p>
    <w:p w:rsidR="00DA2665" w:rsidRDefault="00DA266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12:42 AM</w:t>
      </w:r>
    </w:p>
    <w:p w:rsidR="00DA2665" w:rsidRDefault="00DA266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2665" w:rsidRDefault="00DA266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A2665" w:rsidRDefault="00DA26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A2665" w:rsidRDefault="00DA26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A2665" w:rsidRDefault="00DA26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A2665" w:rsidRDefault="00DA26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A2665" w:rsidRDefault="00DA26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A2665" w:rsidRDefault="00DA266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定義：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由於冠狀動脈平滑肌的短暫血管痙攣（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）所致，導致心肌缺血，變異性心絞痛並非由粥狀動脈硬化（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Atherosclerosis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）引起，但可能合併動脈粥樣硬化。常見於年輕吸菸者（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&lt;50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歲），但無明顯冠心病風險因素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診斷主要依據病史（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DA2665" w:rsidRDefault="00DA2665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陣發性胸痛，常在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午夜至清晨</w:t>
      </w:r>
    </w:p>
    <w:p w:rsidR="00DA2665" w:rsidRDefault="00DA2665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休息時發作，運動後反而改善</w:t>
      </w:r>
    </w:p>
    <w:p w:rsidR="00DA2665" w:rsidRDefault="00DA2665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壓迫感、悶痛，可輻射至手臂或下巴</w:t>
      </w:r>
    </w:p>
    <w:p w:rsidR="00DA2665" w:rsidRDefault="00DA2665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Transient ST Elevation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發作間期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可完全正常（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冠狀動脈攝影（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Coronary Angiography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冠狀動脈痙攣為診斷標誌（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Diagnostic Hallmark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患者合併動脈粥樣硬化斑塊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誘發試驗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過度換氣（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Hyperventilation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冠狀動脈內注射乙醯膽鹼（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Intracoronary Acetylcholine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可誘發局部冠狀動脈狹窄或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段抬高型心絞痛，確立診斷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戒菸</w:t>
      </w:r>
    </w:p>
    <w:p w:rsidR="00DA2665" w:rsidRDefault="00DA266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Calcium Channel Blockers,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A2665" w:rsidRDefault="00DA2665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首選藥物，可擴張冠狀動脈、抑制血管痙攣</w:t>
      </w:r>
    </w:p>
    <w:p w:rsidR="00DA2665" w:rsidRDefault="00DA2665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Amlodipine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</w:p>
    <w:p w:rsidR="00DA2665" w:rsidRDefault="00DA2665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Non-dihydropyridine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Verapamil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（適用於合併心律不整者）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A2665" w:rsidRDefault="00DA2665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急性發作時使用短效硝酸甘油（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A2665" w:rsidRDefault="00DA2665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長效硝酸鹽（如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Isosorbide Mononitrate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）可用於預防</w:t>
      </w:r>
    </w:p>
    <w:p w:rsidR="00DA2665" w:rsidRDefault="00DA26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禁忌藥物</w:t>
      </w:r>
    </w:p>
    <w:p w:rsidR="00DA2665" w:rsidRDefault="00DA2665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阻斷劑（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特別是非選擇性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Propranolol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受體不受抑制，使血管痙攣加重</w:t>
      </w:r>
    </w:p>
    <w:p w:rsidR="00DA2665" w:rsidRDefault="00DA2665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A2665" w:rsidRDefault="00DA266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可能抑制前列環素（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Prostacyclin, PGI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），導致血管收縮</w:t>
      </w:r>
    </w:p>
    <w:p w:rsidR="00DA2665" w:rsidRDefault="00DA2665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DA2665" w:rsidRDefault="00DA2665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665" w:rsidRDefault="00DA2665" w:rsidP="00DA2665">
      <w:r>
        <w:separator/>
      </w:r>
    </w:p>
  </w:endnote>
  <w:endnote w:type="continuationSeparator" w:id="0">
    <w:p w:rsidR="00DA2665" w:rsidRDefault="00DA2665" w:rsidP="00DA2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665" w:rsidRDefault="00DA2665" w:rsidP="00DA2665">
      <w:r>
        <w:separator/>
      </w:r>
    </w:p>
  </w:footnote>
  <w:footnote w:type="continuationSeparator" w:id="0">
    <w:p w:rsidR="00DA2665" w:rsidRDefault="00DA2665" w:rsidP="00DA2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C5CB7"/>
    <w:multiLevelType w:val="multilevel"/>
    <w:tmpl w:val="954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A0644C"/>
    <w:multiLevelType w:val="multilevel"/>
    <w:tmpl w:val="21D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4942519">
    <w:abstractNumId w:val="0"/>
  </w:num>
  <w:num w:numId="2" w16cid:durableId="195844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65"/>
    <w:rsid w:val="00D94983"/>
    <w:rsid w:val="00DA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322A1D-F72F-4FD3-977B-0CDE2AB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2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266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2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266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