
<file path=[Content_Types].xml><?xml version="1.0" encoding="utf-8"?>
<Types xmlns="http://schemas.openxmlformats.org/package/2006/content-types">
  <Default Extension="emf" ContentType="image/x-emf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package/2006/relationships/metadata/core-properties" Target="docProps/core.xml"/><Relationship Id="rId2" Type="http://schemas.openxmlformats.org/package/2006/relationships/metadata/thumbnail" Target="docProps/thumbnail.emf"/><Relationship Id="rId1" Type="http://schemas.openxmlformats.org/officeDocument/2006/relationships/officeDocument" Target="word/document.xml"/><Relationship Id="rId4" Type="http://schemas.openxmlformats.org/officeDocument/2006/relationships/extended-properties" Target="docProps/app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:rsidR="005E55E6" w:rsidRDefault="005E55E6">
      <w:pPr>
        <w:pStyle w:val="Web"/>
        <w:spacing w:before="0" w:beforeAutospacing="0" w:after="0" w:afterAutospacing="0"/>
        <w:rPr>
          <w:rFonts w:ascii="微軟正黑體" w:eastAsia="微軟正黑體" w:hAnsi="微軟正黑體" w:cs="Calibri"/>
          <w:sz w:val="40"/>
          <w:szCs w:val="40"/>
        </w:rPr>
      </w:pPr>
      <w:r>
        <w:rPr>
          <w:rFonts w:ascii="微軟正黑體" w:eastAsia="微軟正黑體" w:hAnsi="微軟正黑體" w:cs="Calibri" w:hint="eastAsia"/>
          <w:sz w:val="40"/>
          <w:szCs w:val="40"/>
        </w:rPr>
        <w:t>食道癌</w:t>
      </w:r>
    </w:p>
    <w:p w:rsidR="005E55E6" w:rsidRDefault="005E55E6">
      <w:pPr>
        <w:pStyle w:val="Web"/>
        <w:spacing w:before="0" w:beforeAutospacing="0" w:after="0" w:afterAutospacing="0"/>
        <w:rPr>
          <w:rFonts w:ascii="Calibri" w:hAnsi="Calibri" w:cs="Calibri" w:hint="eastAsia"/>
          <w:color w:val="767676"/>
          <w:sz w:val="20"/>
          <w:szCs w:val="20"/>
        </w:rPr>
      </w:pPr>
      <w:r>
        <w:rPr>
          <w:rFonts w:ascii="Calibri" w:hAnsi="Calibri" w:cs="Calibri"/>
          <w:color w:val="767676"/>
          <w:sz w:val="20"/>
          <w:szCs w:val="20"/>
        </w:rPr>
        <w:t>Thursday, June 5, 2025</w:t>
      </w:r>
    </w:p>
    <w:p w:rsidR="005E55E6" w:rsidRDefault="005E55E6">
      <w:pPr>
        <w:pStyle w:val="Web"/>
        <w:spacing w:before="0" w:beforeAutospacing="0" w:after="0" w:afterAutospacing="0"/>
        <w:rPr>
          <w:rFonts w:ascii="Calibri" w:hAnsi="Calibri" w:cs="Calibri"/>
          <w:color w:val="767676"/>
          <w:sz w:val="20"/>
          <w:szCs w:val="20"/>
        </w:rPr>
      </w:pPr>
      <w:r>
        <w:rPr>
          <w:rFonts w:ascii="Calibri" w:hAnsi="Calibri" w:cs="Calibri"/>
          <w:color w:val="767676"/>
          <w:sz w:val="20"/>
          <w:szCs w:val="20"/>
        </w:rPr>
        <w:t>11:19 PM</w:t>
      </w:r>
    </w:p>
    <w:p w:rsidR="005E55E6" w:rsidRDefault="005E55E6">
      <w:pPr>
        <w:pStyle w:val="Web"/>
        <w:spacing w:before="0" w:beforeAutospacing="0" w:after="0" w:afterAutospacing="0"/>
        <w:rPr>
          <w:rFonts w:ascii="Calibri" w:hAnsi="Calibri" w:cs="Calibri"/>
          <w:sz w:val="22"/>
          <w:szCs w:val="22"/>
        </w:rPr>
      </w:pPr>
      <w:r>
        <w:rPr>
          <w:rFonts w:ascii="Calibri" w:hAnsi="Calibri" w:cs="Calibri"/>
          <w:sz w:val="22"/>
          <w:szCs w:val="22"/>
        </w:rPr>
        <w:t> </w:t>
      </w:r>
    </w:p>
    <w:p w:rsidR="005E55E6" w:rsidRDefault="005E55E6">
      <w:pPr>
        <w:numPr>
          <w:ilvl w:val="0"/>
          <w:numId w:val="1"/>
        </w:numPr>
        <w:textAlignment w:val="center"/>
        <w:rPr>
          <w:rFonts w:ascii="Calibri" w:hAnsi="Calibri" w:cs="Calibri"/>
          <w:sz w:val="22"/>
          <w:szCs w:val="22"/>
        </w:rPr>
      </w:pPr>
      <w:r>
        <w:rPr>
          <w:rFonts w:ascii="Microsoft JhengHei Light" w:eastAsia="Microsoft JhengHei Light" w:hAnsi="Microsoft JhengHei Light" w:cs="Calibri" w:hint="eastAsia"/>
          <w:sz w:val="32"/>
          <w:szCs w:val="32"/>
        </w:rPr>
        <w:t>編輯格式</w:t>
      </w:r>
    </w:p>
    <w:p w:rsidR="005E55E6" w:rsidRDefault="005E55E6">
      <w:pPr>
        <w:numPr>
          <w:ilvl w:val="1"/>
          <w:numId w:val="1"/>
        </w:numPr>
        <w:textAlignment w:val="center"/>
        <w:rPr>
          <w:rFonts w:ascii="Calibri" w:hAnsi="Calibri" w:cs="Calibri"/>
          <w:sz w:val="22"/>
          <w:szCs w:val="22"/>
        </w:rPr>
      </w:pPr>
      <w:r>
        <w:rPr>
          <w:rFonts w:ascii="Microsoft JhengHei Light" w:eastAsia="Microsoft JhengHei Light" w:hAnsi="Microsoft JhengHei Light" w:cs="Calibri" w:hint="eastAsia"/>
          <w:sz w:val="32"/>
          <w:szCs w:val="32"/>
        </w:rPr>
        <w:t>顏色註記方式</w:t>
      </w:r>
    </w:p>
    <w:p w:rsidR="005E55E6" w:rsidRDefault="005E55E6">
      <w:pPr>
        <w:numPr>
          <w:ilvl w:val="2"/>
          <w:numId w:val="1"/>
        </w:numPr>
        <w:textAlignment w:val="center"/>
        <w:rPr>
          <w:rFonts w:ascii="Calibri" w:hAnsi="Calibri" w:cs="Calibri"/>
          <w:sz w:val="22"/>
          <w:szCs w:val="22"/>
        </w:rPr>
      </w:pPr>
      <w:r>
        <w:rPr>
          <w:rFonts w:ascii="Microsoft JhengHei Light" w:eastAsia="Microsoft JhengHei Light" w:hAnsi="Microsoft JhengHei Light" w:cs="Calibri" w:hint="eastAsia"/>
          <w:sz w:val="22"/>
          <w:szCs w:val="22"/>
        </w:rPr>
        <w:t>重要標題</w:t>
      </w:r>
      <w:r>
        <w:rPr>
          <w:rFonts w:ascii="Microsoft JhengHei Light" w:eastAsia="Microsoft JhengHei Light" w:hAnsi="Microsoft JhengHei Light" w:cs="Calibri" w:hint="eastAsia"/>
          <w:sz w:val="22"/>
          <w:szCs w:val="22"/>
        </w:rPr>
        <w:t xml:space="preserve"> : </w:t>
      </w:r>
      <w:r>
        <w:rPr>
          <w:rFonts w:ascii="Microsoft JhengHei Light" w:eastAsia="Microsoft JhengHei Light" w:hAnsi="Microsoft JhengHei Light" w:cs="Calibri" w:hint="eastAsia"/>
          <w:color w:val="1E4E79"/>
          <w:sz w:val="22"/>
          <w:szCs w:val="22"/>
        </w:rPr>
        <w:t>母標題藍色</w:t>
      </w:r>
      <w:r>
        <w:rPr>
          <w:rFonts w:ascii="Microsoft JhengHei Light" w:eastAsia="Microsoft JhengHei Light" w:hAnsi="Microsoft JhengHei Light" w:cs="Calibri" w:hint="eastAsia"/>
          <w:color w:val="1E4E79"/>
          <w:sz w:val="22"/>
          <w:szCs w:val="22"/>
        </w:rPr>
        <w:t>(</w:t>
      </w:r>
      <w:r>
        <w:rPr>
          <w:rFonts w:ascii="Microsoft JhengHei Light" w:eastAsia="Microsoft JhengHei Light" w:hAnsi="Microsoft JhengHei Light" w:cs="Calibri" w:hint="eastAsia"/>
          <w:color w:val="1E4E79"/>
          <w:sz w:val="22"/>
          <w:szCs w:val="22"/>
        </w:rPr>
        <w:t>最暗</w:t>
      </w:r>
      <w:r>
        <w:rPr>
          <w:rFonts w:ascii="Microsoft JhengHei Light" w:eastAsia="Microsoft JhengHei Light" w:hAnsi="Microsoft JhengHei Light" w:cs="Calibri" w:hint="eastAsia"/>
          <w:color w:val="1E4E79"/>
          <w:sz w:val="22"/>
          <w:szCs w:val="22"/>
        </w:rPr>
        <w:t>)</w:t>
      </w:r>
      <w:r>
        <w:rPr>
          <w:rFonts w:ascii="Microsoft JhengHei Light" w:eastAsia="Microsoft JhengHei Light" w:hAnsi="Microsoft JhengHei Light" w:cs="Calibri" w:hint="eastAsia"/>
          <w:color w:val="1E4E79"/>
          <w:sz w:val="22"/>
          <w:szCs w:val="22"/>
        </w:rPr>
        <w:t>標記</w:t>
      </w:r>
      <w:r>
        <w:rPr>
          <w:rFonts w:ascii="Microsoft JhengHei Light" w:eastAsia="Microsoft JhengHei Light" w:hAnsi="Microsoft JhengHei Light" w:cs="Calibri" w:hint="eastAsia"/>
          <w:sz w:val="22"/>
          <w:szCs w:val="22"/>
        </w:rPr>
        <w:t>/</w:t>
      </w:r>
      <w:r>
        <w:rPr>
          <w:rFonts w:ascii="Microsoft JhengHei Light" w:eastAsia="Microsoft JhengHei Light" w:hAnsi="Microsoft JhengHei Light" w:cs="Calibri" w:hint="eastAsia"/>
          <w:color w:val="2E75B5"/>
          <w:sz w:val="22"/>
          <w:szCs w:val="22"/>
        </w:rPr>
        <w:t>子標題藍色</w:t>
      </w:r>
      <w:r>
        <w:rPr>
          <w:rFonts w:ascii="Microsoft JhengHei Light" w:eastAsia="Microsoft JhengHei Light" w:hAnsi="Microsoft JhengHei Light" w:cs="Calibri" w:hint="eastAsia"/>
          <w:color w:val="2E75B5"/>
          <w:sz w:val="22"/>
          <w:szCs w:val="22"/>
        </w:rPr>
        <w:t>(</w:t>
      </w:r>
      <w:r>
        <w:rPr>
          <w:rFonts w:ascii="Microsoft JhengHei Light" w:eastAsia="Microsoft JhengHei Light" w:hAnsi="Microsoft JhengHei Light" w:cs="Calibri" w:hint="eastAsia"/>
          <w:color w:val="2E75B5"/>
          <w:sz w:val="22"/>
          <w:szCs w:val="22"/>
        </w:rPr>
        <w:t>較暗</w:t>
      </w:r>
      <w:r>
        <w:rPr>
          <w:rFonts w:ascii="Microsoft JhengHei Light" w:eastAsia="Microsoft JhengHei Light" w:hAnsi="Microsoft JhengHei Light" w:cs="Calibri" w:hint="eastAsia"/>
          <w:color w:val="2E75B5"/>
          <w:sz w:val="22"/>
          <w:szCs w:val="22"/>
        </w:rPr>
        <w:t>,25%)</w:t>
      </w:r>
      <w:r>
        <w:rPr>
          <w:rFonts w:ascii="Microsoft JhengHei Light" w:eastAsia="Microsoft JhengHei Light" w:hAnsi="Microsoft JhengHei Light" w:cs="Calibri" w:hint="eastAsia"/>
          <w:color w:val="2E75B5"/>
          <w:sz w:val="22"/>
          <w:szCs w:val="22"/>
        </w:rPr>
        <w:t>標記</w:t>
      </w:r>
    </w:p>
    <w:p w:rsidR="005E55E6" w:rsidRDefault="005E55E6">
      <w:pPr>
        <w:numPr>
          <w:ilvl w:val="2"/>
          <w:numId w:val="1"/>
        </w:numPr>
        <w:textAlignment w:val="center"/>
        <w:rPr>
          <w:rFonts w:ascii="Calibri" w:hAnsi="Calibri" w:cs="Calibri"/>
          <w:sz w:val="22"/>
          <w:szCs w:val="22"/>
        </w:rPr>
      </w:pPr>
      <w:r>
        <w:rPr>
          <w:rFonts w:ascii="Microsoft JhengHei Light" w:eastAsia="Microsoft JhengHei Light" w:hAnsi="Microsoft JhengHei Light" w:cs="Calibri" w:hint="eastAsia"/>
          <w:sz w:val="22"/>
          <w:szCs w:val="22"/>
        </w:rPr>
        <w:t>重要術式治療藥物</w:t>
      </w:r>
      <w:r>
        <w:rPr>
          <w:rFonts w:ascii="Microsoft JhengHei Light" w:eastAsia="Microsoft JhengHei Light" w:hAnsi="Microsoft JhengHei Light" w:cs="Calibri" w:hint="eastAsia"/>
          <w:sz w:val="22"/>
          <w:szCs w:val="22"/>
        </w:rPr>
        <w:t xml:space="preserve"> : </w:t>
      </w:r>
      <w:r>
        <w:rPr>
          <w:rFonts w:ascii="Microsoft JhengHei Light" w:eastAsia="Microsoft JhengHei Light" w:hAnsi="Microsoft JhengHei Light" w:cs="Calibri" w:hint="eastAsia"/>
          <w:b/>
          <w:bCs/>
          <w:color w:val="70AD47"/>
          <w:sz w:val="22"/>
          <w:szCs w:val="22"/>
        </w:rPr>
        <w:t>綠色標記</w:t>
      </w:r>
      <w:r>
        <w:rPr>
          <w:rFonts w:ascii="Microsoft JhengHei Light" w:eastAsia="Microsoft JhengHei Light" w:hAnsi="Microsoft JhengHei Light" w:cs="Calibri" w:hint="eastAsia"/>
          <w:b/>
          <w:bCs/>
          <w:color w:val="70AD47"/>
          <w:sz w:val="22"/>
          <w:szCs w:val="22"/>
        </w:rPr>
        <w:t>+</w:t>
      </w:r>
      <w:r>
        <w:rPr>
          <w:rFonts w:ascii="Microsoft JhengHei Light" w:eastAsia="Microsoft JhengHei Light" w:hAnsi="Microsoft JhengHei Light" w:cs="Calibri" w:hint="eastAsia"/>
          <w:b/>
          <w:bCs/>
          <w:color w:val="70AD47"/>
          <w:sz w:val="22"/>
          <w:szCs w:val="22"/>
        </w:rPr>
        <w:t>粗體</w:t>
      </w:r>
    </w:p>
    <w:p w:rsidR="005E55E6" w:rsidRDefault="005E55E6">
      <w:pPr>
        <w:numPr>
          <w:ilvl w:val="2"/>
          <w:numId w:val="1"/>
        </w:numPr>
        <w:textAlignment w:val="center"/>
        <w:rPr>
          <w:rFonts w:ascii="Calibri" w:hAnsi="Calibri" w:cs="Calibri"/>
          <w:sz w:val="22"/>
          <w:szCs w:val="22"/>
        </w:rPr>
      </w:pPr>
      <w:r>
        <w:rPr>
          <w:rFonts w:ascii="Microsoft JhengHei Light" w:eastAsia="Microsoft JhengHei Light" w:hAnsi="Microsoft JhengHei Light" w:cs="Calibri" w:hint="eastAsia"/>
          <w:sz w:val="22"/>
          <w:szCs w:val="22"/>
        </w:rPr>
        <w:t>重要內文</w:t>
      </w:r>
      <w:r>
        <w:rPr>
          <w:rFonts w:ascii="Microsoft JhengHei Light" w:eastAsia="Microsoft JhengHei Light" w:hAnsi="Microsoft JhengHei Light" w:cs="Calibri" w:hint="eastAsia"/>
          <w:sz w:val="22"/>
          <w:szCs w:val="22"/>
        </w:rPr>
        <w:t xml:space="preserve"> : </w:t>
      </w:r>
      <w:r>
        <w:rPr>
          <w:rFonts w:ascii="Microsoft JhengHei Light" w:eastAsia="Microsoft JhengHei Light" w:hAnsi="Microsoft JhengHei Light" w:cs="Calibri" w:hint="eastAsia"/>
          <w:color w:val="C00000"/>
          <w:sz w:val="22"/>
          <w:szCs w:val="22"/>
        </w:rPr>
        <w:t>紅色</w:t>
      </w:r>
      <w:r>
        <w:rPr>
          <w:rFonts w:ascii="Microsoft JhengHei Light" w:eastAsia="Microsoft JhengHei Light" w:hAnsi="Microsoft JhengHei Light" w:cs="Calibri" w:hint="eastAsia"/>
          <w:color w:val="C00000"/>
          <w:sz w:val="22"/>
          <w:szCs w:val="22"/>
        </w:rPr>
        <w:t>(</w:t>
      </w:r>
      <w:r>
        <w:rPr>
          <w:rFonts w:ascii="Microsoft JhengHei Light" w:eastAsia="Microsoft JhengHei Light" w:hAnsi="Microsoft JhengHei Light" w:cs="Calibri" w:hint="eastAsia"/>
          <w:color w:val="C00000"/>
          <w:sz w:val="22"/>
          <w:szCs w:val="22"/>
        </w:rPr>
        <w:t>標準色彩</w:t>
      </w:r>
      <w:r>
        <w:rPr>
          <w:rFonts w:ascii="Microsoft JhengHei Light" w:eastAsia="Microsoft JhengHei Light" w:hAnsi="Microsoft JhengHei Light" w:cs="Calibri" w:hint="eastAsia"/>
          <w:color w:val="C00000"/>
          <w:sz w:val="22"/>
          <w:szCs w:val="22"/>
        </w:rPr>
        <w:t>)</w:t>
      </w:r>
      <w:r>
        <w:rPr>
          <w:rFonts w:ascii="Microsoft JhengHei Light" w:eastAsia="Microsoft JhengHei Light" w:hAnsi="Microsoft JhengHei Light" w:cs="Calibri" w:hint="eastAsia"/>
          <w:sz w:val="22"/>
          <w:szCs w:val="22"/>
        </w:rPr>
        <w:t>/</w:t>
      </w:r>
      <w:r>
        <w:rPr>
          <w:rFonts w:ascii="Microsoft JhengHei Light" w:eastAsia="Microsoft JhengHei Light" w:hAnsi="Microsoft JhengHei Light" w:cs="Calibri" w:hint="eastAsia"/>
          <w:b/>
          <w:bCs/>
          <w:color w:val="ED7D31"/>
          <w:sz w:val="22"/>
          <w:szCs w:val="22"/>
        </w:rPr>
        <w:t>橘色</w:t>
      </w:r>
      <w:r>
        <w:rPr>
          <w:rFonts w:ascii="Microsoft JhengHei Light" w:eastAsia="Microsoft JhengHei Light" w:hAnsi="Microsoft JhengHei Light" w:cs="Calibri" w:hint="eastAsia"/>
          <w:b/>
          <w:bCs/>
          <w:color w:val="ED7D31"/>
          <w:sz w:val="22"/>
          <w:szCs w:val="22"/>
        </w:rPr>
        <w:t>+</w:t>
      </w:r>
      <w:r>
        <w:rPr>
          <w:rFonts w:ascii="Microsoft JhengHei Light" w:eastAsia="Microsoft JhengHei Light" w:hAnsi="Microsoft JhengHei Light" w:cs="Calibri" w:hint="eastAsia"/>
          <w:b/>
          <w:bCs/>
          <w:color w:val="ED7D31"/>
          <w:sz w:val="22"/>
          <w:szCs w:val="22"/>
        </w:rPr>
        <w:t>粗體</w:t>
      </w:r>
      <w:r>
        <w:rPr>
          <w:rFonts w:ascii="Microsoft JhengHei Light" w:eastAsia="Microsoft JhengHei Light" w:hAnsi="Microsoft JhengHei Light" w:cs="Calibri" w:hint="eastAsia"/>
          <w:b/>
          <w:bCs/>
          <w:color w:val="ED7D31"/>
          <w:sz w:val="22"/>
          <w:szCs w:val="22"/>
        </w:rPr>
        <w:t>(</w:t>
      </w:r>
      <w:r>
        <w:rPr>
          <w:rFonts w:ascii="Microsoft JhengHei Light" w:eastAsia="Microsoft JhengHei Light" w:hAnsi="Microsoft JhengHei Light" w:cs="Calibri" w:hint="eastAsia"/>
          <w:b/>
          <w:bCs/>
          <w:color w:val="ED7D31"/>
          <w:sz w:val="22"/>
          <w:szCs w:val="22"/>
        </w:rPr>
        <w:t>橘色那一欄第一個</w:t>
      </w:r>
      <w:r>
        <w:rPr>
          <w:rFonts w:ascii="Microsoft JhengHei Light" w:eastAsia="Microsoft JhengHei Light" w:hAnsi="Microsoft JhengHei Light" w:cs="Calibri" w:hint="eastAsia"/>
          <w:b/>
          <w:bCs/>
          <w:color w:val="ED7D31"/>
          <w:sz w:val="22"/>
          <w:szCs w:val="22"/>
        </w:rPr>
        <w:t>)</w:t>
      </w:r>
      <w:r>
        <w:rPr>
          <w:rFonts w:ascii="Microsoft JhengHei Light" w:eastAsia="Microsoft JhengHei Light" w:hAnsi="Microsoft JhengHei Light" w:cs="Calibri" w:hint="eastAsia"/>
          <w:sz w:val="22"/>
          <w:szCs w:val="22"/>
        </w:rPr>
        <w:t>(</w:t>
      </w:r>
      <w:r>
        <w:rPr>
          <w:rFonts w:ascii="Microsoft JhengHei Light" w:eastAsia="Microsoft JhengHei Light" w:hAnsi="Microsoft JhengHei Light" w:cs="Calibri" w:hint="eastAsia"/>
          <w:sz w:val="22"/>
          <w:szCs w:val="22"/>
        </w:rPr>
        <w:t>如果同色太醜就紅橘相間</w:t>
      </w:r>
      <w:r>
        <w:rPr>
          <w:rFonts w:ascii="Microsoft JhengHei Light" w:eastAsia="Microsoft JhengHei Light" w:hAnsi="Microsoft JhengHei Light" w:cs="Calibri" w:hint="eastAsia"/>
          <w:sz w:val="22"/>
          <w:szCs w:val="22"/>
        </w:rPr>
        <w:t>)</w:t>
      </w:r>
    </w:p>
    <w:p w:rsidR="005E55E6" w:rsidRDefault="005E55E6">
      <w:pPr>
        <w:numPr>
          <w:ilvl w:val="2"/>
          <w:numId w:val="1"/>
        </w:numPr>
        <w:textAlignment w:val="center"/>
        <w:rPr>
          <w:rFonts w:ascii="Calibri" w:hAnsi="Calibri" w:cs="Calibri"/>
          <w:sz w:val="22"/>
          <w:szCs w:val="22"/>
        </w:rPr>
      </w:pPr>
      <w:r>
        <w:rPr>
          <w:rFonts w:ascii="Microsoft JhengHei Light" w:eastAsia="Microsoft JhengHei Light" w:hAnsi="Microsoft JhengHei Light" w:cs="Calibri" w:hint="eastAsia"/>
          <w:sz w:val="22"/>
          <w:szCs w:val="22"/>
        </w:rPr>
        <w:t>直接來複製顏色格式一定不會錯</w:t>
      </w:r>
      <w:r>
        <w:rPr>
          <w:rFonts w:ascii="Microsoft JhengHei Light" w:eastAsia="Microsoft JhengHei Light" w:hAnsi="Microsoft JhengHei Light" w:cs="Calibri" w:hint="eastAsia"/>
          <w:sz w:val="22"/>
          <w:szCs w:val="22"/>
        </w:rPr>
        <w:t>xd</w:t>
      </w:r>
    </w:p>
    <w:p w:rsidR="005E55E6" w:rsidRDefault="005E55E6">
      <w:pPr>
        <w:numPr>
          <w:ilvl w:val="0"/>
          <w:numId w:val="2"/>
        </w:numPr>
        <w:spacing w:line="500" w:lineRule="atLeast"/>
        <w:textAlignment w:val="center"/>
        <w:rPr>
          <w:rFonts w:ascii="Calibri" w:hAnsi="Calibri" w:cs="Calibri"/>
          <w:color w:val="000000"/>
          <w:sz w:val="22"/>
          <w:szCs w:val="22"/>
        </w:rPr>
      </w:pPr>
      <w:r>
        <w:rPr>
          <w:rFonts w:ascii="微軟正黑體" w:eastAsia="微軟正黑體" w:hAnsi="微軟正黑體" w:cs="Calibri" w:hint="eastAsia"/>
          <w:color w:val="1E4E79"/>
          <w:sz w:val="32"/>
          <w:szCs w:val="32"/>
        </w:rPr>
        <w:t>食道癌</w:t>
      </w:r>
    </w:p>
    <w:p w:rsidR="005E55E6" w:rsidRDefault="005E55E6">
      <w:pPr>
        <w:numPr>
          <w:ilvl w:val="1"/>
          <w:numId w:val="2"/>
        </w:numPr>
        <w:spacing w:line="420" w:lineRule="atLeast"/>
        <w:textAlignment w:val="center"/>
        <w:rPr>
          <w:rFonts w:ascii="Calibri" w:hAnsi="Calibri" w:cs="Calibri"/>
          <w:sz w:val="22"/>
          <w:szCs w:val="22"/>
        </w:rPr>
      </w:pPr>
      <w:r>
        <w:rPr>
          <w:rFonts w:ascii="微軟正黑體" w:eastAsia="微軟正黑體" w:hAnsi="微軟正黑體" w:cs="Calibri" w:hint="eastAsia"/>
          <w:sz w:val="28"/>
          <w:szCs w:val="28"/>
        </w:rPr>
        <w:t>主要類型</w:t>
      </w:r>
    </w:p>
    <w:p w:rsidR="005E55E6" w:rsidRDefault="005E55E6">
      <w:pPr>
        <w:numPr>
          <w:ilvl w:val="2"/>
          <w:numId w:val="2"/>
        </w:numPr>
        <w:spacing w:line="420" w:lineRule="atLeast"/>
        <w:textAlignment w:val="center"/>
        <w:rPr>
          <w:rFonts w:ascii="Calibri" w:hAnsi="Calibri" w:cs="Calibri"/>
          <w:sz w:val="22"/>
          <w:szCs w:val="22"/>
        </w:rPr>
      </w:pPr>
      <w:r>
        <w:rPr>
          <w:rFonts w:ascii="微軟正黑體" w:eastAsia="微軟正黑體" w:hAnsi="微軟正黑體" w:cs="Calibri" w:hint="eastAsia"/>
          <w:sz w:val="28"/>
          <w:szCs w:val="28"/>
        </w:rPr>
        <w:t>主要類型</w:t>
      </w:r>
    </w:p>
    <w:p w:rsidR="005E55E6" w:rsidRDefault="005E55E6">
      <w:pPr>
        <w:numPr>
          <w:ilvl w:val="3"/>
          <w:numId w:val="2"/>
        </w:numPr>
        <w:spacing w:line="320" w:lineRule="atLeast"/>
        <w:textAlignment w:val="center"/>
        <w:rPr>
          <w:rFonts w:ascii="Calibri" w:hAnsi="Calibri" w:cs="Calibri"/>
          <w:sz w:val="22"/>
          <w:szCs w:val="22"/>
        </w:rPr>
      </w:pPr>
      <w:r>
        <w:rPr>
          <w:rFonts w:ascii="微軟正黑體" w:eastAsia="微軟正黑體" w:hAnsi="微軟正黑體" w:cs="Calibri" w:hint="eastAsia"/>
          <w:color w:val="131314"/>
          <w:sz w:val="22"/>
          <w:szCs w:val="22"/>
        </w:rPr>
        <w:t>食道鱗狀細胞癌</w:t>
      </w:r>
      <w:r>
        <w:rPr>
          <w:rFonts w:ascii="微軟正黑體" w:eastAsia="微軟正黑體" w:hAnsi="微軟正黑體" w:cs="Calibri" w:hint="eastAsia"/>
          <w:color w:val="131314"/>
          <w:sz w:val="22"/>
          <w:szCs w:val="22"/>
        </w:rPr>
        <w:t xml:space="preserve"> </w:t>
      </w:r>
      <w:r>
        <w:rPr>
          <w:rFonts w:ascii="微軟正黑體" w:eastAsia="微軟正黑體" w:hAnsi="微軟正黑體" w:cs="Calibri" w:hint="eastAsia"/>
          <w:color w:val="131314"/>
          <w:sz w:val="22"/>
          <w:szCs w:val="22"/>
        </w:rPr>
        <w:t>(Esophageal squamous cell carcinoma, ESCC)</w:t>
      </w:r>
    </w:p>
    <w:p w:rsidR="005E55E6" w:rsidRDefault="005E55E6">
      <w:pPr>
        <w:numPr>
          <w:ilvl w:val="3"/>
          <w:numId w:val="2"/>
        </w:numPr>
        <w:spacing w:line="320" w:lineRule="atLeast"/>
        <w:textAlignment w:val="center"/>
        <w:rPr>
          <w:rFonts w:ascii="Calibri" w:hAnsi="Calibri" w:cs="Calibri"/>
          <w:sz w:val="22"/>
          <w:szCs w:val="22"/>
        </w:rPr>
      </w:pPr>
      <w:r>
        <w:rPr>
          <w:rFonts w:ascii="微軟正黑體" w:eastAsia="微軟正黑體" w:hAnsi="微軟正黑體" w:cs="Calibri" w:hint="eastAsia"/>
          <w:color w:val="131314"/>
          <w:sz w:val="22"/>
          <w:szCs w:val="22"/>
        </w:rPr>
        <w:t>食道腺癌</w:t>
      </w:r>
      <w:r>
        <w:rPr>
          <w:rFonts w:ascii="微軟正黑體" w:eastAsia="微軟正黑體" w:hAnsi="微軟正黑體" w:cs="Calibri" w:hint="eastAsia"/>
          <w:color w:val="131314"/>
          <w:sz w:val="22"/>
          <w:szCs w:val="22"/>
        </w:rPr>
        <w:t xml:space="preserve"> (Esophageal adenocarcinoma, EAC):</w:t>
      </w:r>
    </w:p>
    <w:p w:rsidR="005E55E6" w:rsidRDefault="005E55E6">
      <w:pPr>
        <w:numPr>
          <w:ilvl w:val="2"/>
          <w:numId w:val="2"/>
        </w:numPr>
        <w:spacing w:line="420" w:lineRule="atLeast"/>
        <w:textAlignment w:val="center"/>
        <w:rPr>
          <w:rFonts w:ascii="Calibri" w:hAnsi="Calibri" w:cs="Calibri"/>
          <w:sz w:val="22"/>
          <w:szCs w:val="22"/>
        </w:rPr>
      </w:pPr>
      <w:r>
        <w:rPr>
          <w:rFonts w:ascii="微軟正黑體" w:eastAsia="微軟正黑體" w:hAnsi="微軟正黑體" w:cs="Calibri" w:hint="eastAsia"/>
          <w:color w:val="131314"/>
          <w:sz w:val="28"/>
          <w:szCs w:val="28"/>
        </w:rPr>
        <w:t>罕見類型</w:t>
      </w:r>
    </w:p>
    <w:p w:rsidR="005E55E6" w:rsidRDefault="005E55E6">
      <w:pPr>
        <w:numPr>
          <w:ilvl w:val="3"/>
          <w:numId w:val="2"/>
        </w:numPr>
        <w:spacing w:line="320" w:lineRule="atLeast"/>
        <w:textAlignment w:val="center"/>
        <w:rPr>
          <w:rFonts w:ascii="Calibri" w:hAnsi="Calibri" w:cs="Calibri"/>
          <w:sz w:val="22"/>
          <w:szCs w:val="22"/>
        </w:rPr>
      </w:pPr>
      <w:r>
        <w:rPr>
          <w:rFonts w:ascii="微軟正黑體" w:eastAsia="微軟正黑體" w:hAnsi="微軟正黑體" w:cs="Calibri" w:hint="eastAsia"/>
          <w:color w:val="131314"/>
          <w:sz w:val="22"/>
          <w:szCs w:val="22"/>
        </w:rPr>
        <w:t>神經內分泌腫瘤</w:t>
      </w:r>
      <w:r>
        <w:rPr>
          <w:rFonts w:ascii="微軟正黑體" w:eastAsia="微軟正黑體" w:hAnsi="微軟正黑體" w:cs="Calibri" w:hint="eastAsia"/>
          <w:color w:val="131314"/>
          <w:sz w:val="22"/>
          <w:szCs w:val="22"/>
        </w:rPr>
        <w:t xml:space="preserve"> (Neuroendocrine tumors)</w:t>
      </w:r>
    </w:p>
    <w:p w:rsidR="005E55E6" w:rsidRDefault="005E55E6">
      <w:pPr>
        <w:numPr>
          <w:ilvl w:val="3"/>
          <w:numId w:val="2"/>
        </w:numPr>
        <w:spacing w:line="320" w:lineRule="atLeast"/>
        <w:textAlignment w:val="center"/>
        <w:rPr>
          <w:rFonts w:ascii="Calibri" w:hAnsi="Calibri" w:cs="Calibri"/>
          <w:sz w:val="22"/>
          <w:szCs w:val="22"/>
        </w:rPr>
      </w:pPr>
      <w:r>
        <w:rPr>
          <w:rFonts w:ascii="微軟正黑體" w:eastAsia="微軟正黑體" w:hAnsi="微軟正黑體" w:cs="Calibri" w:hint="eastAsia"/>
          <w:color w:val="131314"/>
          <w:sz w:val="22"/>
          <w:szCs w:val="22"/>
        </w:rPr>
        <w:t>非上皮腫瘤</w:t>
      </w:r>
      <w:r>
        <w:rPr>
          <w:rFonts w:ascii="微軟正黑體" w:eastAsia="微軟正黑體" w:hAnsi="微軟正黑體" w:cs="Calibri" w:hint="eastAsia"/>
          <w:color w:val="131314"/>
          <w:sz w:val="22"/>
          <w:szCs w:val="22"/>
        </w:rPr>
        <w:t xml:space="preserve"> (Non-epithelial tumors)</w:t>
      </w:r>
    </w:p>
    <w:p w:rsidR="005E55E6" w:rsidRDefault="005E55E6">
      <w:pPr>
        <w:numPr>
          <w:ilvl w:val="3"/>
          <w:numId w:val="2"/>
        </w:numPr>
        <w:spacing w:line="320" w:lineRule="atLeast"/>
        <w:textAlignment w:val="center"/>
        <w:rPr>
          <w:rFonts w:ascii="Calibri" w:hAnsi="Calibri" w:cs="Calibri"/>
          <w:sz w:val="22"/>
          <w:szCs w:val="22"/>
        </w:rPr>
      </w:pPr>
      <w:r>
        <w:rPr>
          <w:rFonts w:ascii="微軟正黑體" w:eastAsia="微軟正黑體" w:hAnsi="微軟正黑體" w:cs="Calibri" w:hint="eastAsia"/>
          <w:color w:val="131314"/>
          <w:sz w:val="22"/>
          <w:szCs w:val="22"/>
        </w:rPr>
        <w:t>小細胞食道癌</w:t>
      </w:r>
      <w:r>
        <w:rPr>
          <w:rFonts w:ascii="微軟正黑體" w:eastAsia="微軟正黑體" w:hAnsi="微軟正黑體" w:cs="Calibri" w:hint="eastAsia"/>
          <w:color w:val="131314"/>
          <w:sz w:val="22"/>
          <w:szCs w:val="22"/>
        </w:rPr>
        <w:t xml:space="preserve"> (Small cell esophageal cancer)</w:t>
      </w:r>
    </w:p>
    <w:p w:rsidR="005E55E6" w:rsidRDefault="005E55E6">
      <w:pPr>
        <w:numPr>
          <w:ilvl w:val="3"/>
          <w:numId w:val="2"/>
        </w:numPr>
        <w:spacing w:line="320" w:lineRule="atLeast"/>
        <w:textAlignment w:val="center"/>
        <w:rPr>
          <w:rFonts w:ascii="Calibri" w:hAnsi="Calibri" w:cs="Calibri"/>
          <w:sz w:val="22"/>
          <w:szCs w:val="22"/>
        </w:rPr>
      </w:pPr>
      <w:r>
        <w:rPr>
          <w:rFonts w:ascii="微軟正黑體" w:eastAsia="微軟正黑體" w:hAnsi="微軟正黑體" w:cs="Calibri" w:hint="eastAsia"/>
          <w:color w:val="131314"/>
          <w:sz w:val="22"/>
          <w:szCs w:val="22"/>
        </w:rPr>
        <w:t>惡性黑色素瘤</w:t>
      </w:r>
      <w:r>
        <w:rPr>
          <w:rFonts w:ascii="微軟正黑體" w:eastAsia="微軟正黑體" w:hAnsi="微軟正黑體" w:cs="Calibri" w:hint="eastAsia"/>
          <w:color w:val="131314"/>
          <w:sz w:val="22"/>
          <w:szCs w:val="22"/>
        </w:rPr>
        <w:t xml:space="preserve"> (Malignant melanoma)</w:t>
      </w:r>
    </w:p>
    <w:p w:rsidR="005E55E6" w:rsidRDefault="005E55E6">
      <w:pPr>
        <w:numPr>
          <w:ilvl w:val="3"/>
          <w:numId w:val="2"/>
        </w:numPr>
        <w:spacing w:line="320" w:lineRule="atLeast"/>
        <w:textAlignment w:val="center"/>
        <w:rPr>
          <w:rFonts w:ascii="Calibri" w:hAnsi="Calibri" w:cs="Calibri"/>
          <w:sz w:val="22"/>
          <w:szCs w:val="22"/>
        </w:rPr>
      </w:pPr>
      <w:r>
        <w:rPr>
          <w:rFonts w:ascii="微軟正黑體" w:eastAsia="微軟正黑體" w:hAnsi="微軟正黑體" w:cs="Calibri" w:hint="eastAsia"/>
          <w:color w:val="131314"/>
          <w:sz w:val="22"/>
          <w:szCs w:val="22"/>
        </w:rPr>
        <w:t>未分化癌</w:t>
      </w:r>
      <w:r>
        <w:rPr>
          <w:rFonts w:ascii="微軟正黑體" w:eastAsia="微軟正黑體" w:hAnsi="微軟正黑體" w:cs="Calibri" w:hint="eastAsia"/>
          <w:color w:val="131314"/>
          <w:sz w:val="22"/>
          <w:szCs w:val="22"/>
        </w:rPr>
        <w:t xml:space="preserve"> (Undifferentiated cancer)</w:t>
      </w:r>
    </w:p>
    <w:p w:rsidR="005E55E6" w:rsidRDefault="005E55E6">
      <w:pPr>
        <w:numPr>
          <w:ilvl w:val="1"/>
          <w:numId w:val="2"/>
        </w:numPr>
        <w:spacing w:line="420" w:lineRule="atLeast"/>
        <w:textAlignment w:val="center"/>
        <w:rPr>
          <w:rFonts w:ascii="Calibri" w:hAnsi="Calibri" w:cs="Calibri"/>
          <w:sz w:val="22"/>
          <w:szCs w:val="22"/>
        </w:rPr>
      </w:pPr>
      <w:r>
        <w:rPr>
          <w:rFonts w:ascii="微軟正黑體" w:eastAsia="微軟正黑體" w:hAnsi="微軟正黑體" w:cs="Calibri" w:hint="eastAsia"/>
          <w:color w:val="131314"/>
          <w:sz w:val="28"/>
          <w:szCs w:val="28"/>
        </w:rPr>
        <w:t>症狀</w:t>
      </w:r>
    </w:p>
    <w:p w:rsidR="005E55E6" w:rsidRDefault="005E55E6">
      <w:pPr>
        <w:numPr>
          <w:ilvl w:val="2"/>
          <w:numId w:val="2"/>
        </w:numPr>
        <w:spacing w:line="420" w:lineRule="atLeast"/>
        <w:textAlignment w:val="center"/>
        <w:rPr>
          <w:rFonts w:ascii="Calibri" w:hAnsi="Calibri" w:cs="Calibri"/>
          <w:sz w:val="22"/>
          <w:szCs w:val="22"/>
        </w:rPr>
      </w:pPr>
      <w:r>
        <w:rPr>
          <w:rFonts w:ascii="微軟正黑體" w:eastAsia="微軟正黑體" w:hAnsi="微軟正黑體" w:cs="Calibri" w:hint="eastAsia"/>
          <w:color w:val="131314"/>
          <w:sz w:val="28"/>
          <w:szCs w:val="28"/>
        </w:rPr>
        <w:t>常見的症狀</w:t>
      </w:r>
      <w:r>
        <w:rPr>
          <w:rFonts w:ascii="微軟正黑體" w:eastAsia="微軟正黑體" w:hAnsi="微軟正黑體" w:cs="Calibri" w:hint="eastAsia"/>
          <w:color w:val="131314"/>
          <w:sz w:val="28"/>
          <w:szCs w:val="28"/>
        </w:rPr>
        <w:t>:</w:t>
      </w:r>
    </w:p>
    <w:p w:rsidR="005E55E6" w:rsidRDefault="005E55E6">
      <w:pPr>
        <w:numPr>
          <w:ilvl w:val="3"/>
          <w:numId w:val="2"/>
        </w:numPr>
        <w:spacing w:line="320" w:lineRule="atLeast"/>
        <w:textAlignment w:val="center"/>
        <w:rPr>
          <w:rFonts w:ascii="Calibri" w:hAnsi="Calibri" w:cs="Calibri"/>
          <w:sz w:val="22"/>
          <w:szCs w:val="22"/>
        </w:rPr>
      </w:pPr>
      <w:r>
        <w:rPr>
          <w:rFonts w:ascii="微軟正黑體" w:eastAsia="微軟正黑體" w:hAnsi="微軟正黑體" w:cs="Calibri" w:hint="eastAsia"/>
          <w:color w:val="131314"/>
          <w:sz w:val="22"/>
          <w:szCs w:val="22"/>
        </w:rPr>
        <w:t>吞嚥困難</w:t>
      </w:r>
      <w:r>
        <w:rPr>
          <w:rFonts w:ascii="微軟正黑體" w:eastAsia="微軟正黑體" w:hAnsi="微軟正黑體" w:cs="Calibri" w:hint="eastAsia"/>
          <w:color w:val="131314"/>
          <w:sz w:val="22"/>
          <w:szCs w:val="22"/>
        </w:rPr>
        <w:t xml:space="preserve"> (dysphagia)</w:t>
      </w:r>
    </w:p>
    <w:p w:rsidR="005E55E6" w:rsidRDefault="005E55E6">
      <w:pPr>
        <w:numPr>
          <w:ilvl w:val="3"/>
          <w:numId w:val="2"/>
        </w:numPr>
        <w:spacing w:line="320" w:lineRule="atLeast"/>
        <w:textAlignment w:val="center"/>
        <w:rPr>
          <w:rFonts w:ascii="Calibri" w:hAnsi="Calibri" w:cs="Calibri"/>
          <w:sz w:val="22"/>
          <w:szCs w:val="22"/>
        </w:rPr>
      </w:pPr>
      <w:r>
        <w:rPr>
          <w:rFonts w:ascii="微軟正黑體" w:eastAsia="微軟正黑體" w:hAnsi="微軟正黑體" w:cs="Calibri" w:hint="eastAsia"/>
          <w:color w:val="131314"/>
          <w:sz w:val="22"/>
          <w:szCs w:val="22"/>
        </w:rPr>
        <w:t>吞嚥疼痛</w:t>
      </w:r>
      <w:r>
        <w:rPr>
          <w:rFonts w:ascii="微軟正黑體" w:eastAsia="微軟正黑體" w:hAnsi="微軟正黑體" w:cs="Calibri" w:hint="eastAsia"/>
          <w:color w:val="131314"/>
          <w:sz w:val="22"/>
          <w:szCs w:val="22"/>
        </w:rPr>
        <w:t xml:space="preserve"> (odynophagia)</w:t>
      </w:r>
    </w:p>
    <w:p w:rsidR="005E55E6" w:rsidRDefault="005E55E6">
      <w:pPr>
        <w:numPr>
          <w:ilvl w:val="2"/>
          <w:numId w:val="2"/>
        </w:numPr>
        <w:spacing w:line="420" w:lineRule="atLeast"/>
        <w:textAlignment w:val="center"/>
        <w:rPr>
          <w:rFonts w:ascii="Calibri" w:hAnsi="Calibri" w:cs="Calibri"/>
          <w:sz w:val="22"/>
          <w:szCs w:val="22"/>
        </w:rPr>
      </w:pPr>
      <w:r>
        <w:rPr>
          <w:rFonts w:ascii="微軟正黑體" w:eastAsia="微軟正黑體" w:hAnsi="微軟正黑體" w:cs="Calibri" w:hint="eastAsia"/>
          <w:color w:val="131314"/>
          <w:sz w:val="28"/>
          <w:szCs w:val="28"/>
        </w:rPr>
        <w:t>其他症狀</w:t>
      </w:r>
      <w:r>
        <w:rPr>
          <w:rFonts w:ascii="微軟正黑體" w:eastAsia="微軟正黑體" w:hAnsi="微軟正黑體" w:cs="Calibri" w:hint="eastAsia"/>
          <w:color w:val="131314"/>
          <w:sz w:val="28"/>
          <w:szCs w:val="28"/>
        </w:rPr>
        <w:t>:</w:t>
      </w:r>
    </w:p>
    <w:p w:rsidR="005E55E6" w:rsidRDefault="005E55E6">
      <w:pPr>
        <w:numPr>
          <w:ilvl w:val="3"/>
          <w:numId w:val="2"/>
        </w:numPr>
        <w:spacing w:line="320" w:lineRule="atLeast"/>
        <w:textAlignment w:val="center"/>
        <w:rPr>
          <w:rFonts w:ascii="Calibri" w:hAnsi="Calibri" w:cs="Calibri"/>
          <w:sz w:val="22"/>
          <w:szCs w:val="22"/>
        </w:rPr>
      </w:pPr>
      <w:r>
        <w:rPr>
          <w:rFonts w:ascii="微軟正黑體" w:eastAsia="微軟正黑體" w:hAnsi="微軟正黑體" w:cs="Calibri" w:hint="eastAsia"/>
          <w:color w:val="131314"/>
          <w:sz w:val="22"/>
          <w:szCs w:val="22"/>
        </w:rPr>
        <w:t>吐血</w:t>
      </w:r>
      <w:r>
        <w:rPr>
          <w:rFonts w:ascii="微軟正黑體" w:eastAsia="微軟正黑體" w:hAnsi="微軟正黑體" w:cs="Calibri" w:hint="eastAsia"/>
          <w:color w:val="131314"/>
          <w:sz w:val="22"/>
          <w:szCs w:val="22"/>
        </w:rPr>
        <w:t xml:space="preserve"> (hematemesis) </w:t>
      </w:r>
    </w:p>
    <w:p w:rsidR="005E55E6" w:rsidRDefault="005E55E6">
      <w:pPr>
        <w:numPr>
          <w:ilvl w:val="3"/>
          <w:numId w:val="2"/>
        </w:numPr>
        <w:spacing w:line="320" w:lineRule="atLeast"/>
        <w:textAlignment w:val="center"/>
        <w:rPr>
          <w:rFonts w:ascii="Calibri" w:hAnsi="Calibri" w:cs="Calibri"/>
          <w:sz w:val="22"/>
          <w:szCs w:val="22"/>
        </w:rPr>
      </w:pPr>
      <w:r>
        <w:rPr>
          <w:rFonts w:ascii="微軟正黑體" w:eastAsia="微軟正黑體" w:hAnsi="微軟正黑體" w:cs="Calibri" w:hint="eastAsia"/>
          <w:color w:val="131314"/>
          <w:sz w:val="22"/>
          <w:szCs w:val="22"/>
        </w:rPr>
        <w:t>黑便</w:t>
      </w:r>
      <w:r>
        <w:rPr>
          <w:rFonts w:ascii="微軟正黑體" w:eastAsia="微軟正黑體" w:hAnsi="微軟正黑體" w:cs="Calibri" w:hint="eastAsia"/>
          <w:color w:val="131314"/>
          <w:sz w:val="22"/>
          <w:szCs w:val="22"/>
        </w:rPr>
        <w:t xml:space="preserve"> (melena)</w:t>
      </w:r>
    </w:p>
    <w:p w:rsidR="005E55E6" w:rsidRDefault="005E55E6">
      <w:pPr>
        <w:numPr>
          <w:ilvl w:val="3"/>
          <w:numId w:val="2"/>
        </w:numPr>
        <w:spacing w:line="320" w:lineRule="atLeast"/>
        <w:textAlignment w:val="center"/>
        <w:rPr>
          <w:rFonts w:ascii="Calibri" w:hAnsi="Calibri" w:cs="Calibri"/>
          <w:sz w:val="22"/>
          <w:szCs w:val="22"/>
        </w:rPr>
      </w:pPr>
      <w:r>
        <w:rPr>
          <w:rFonts w:ascii="微軟正黑體" w:eastAsia="微軟正黑體" w:hAnsi="微軟正黑體" w:cs="Calibri" w:hint="eastAsia"/>
          <w:color w:val="131314"/>
          <w:sz w:val="22"/>
          <w:szCs w:val="22"/>
        </w:rPr>
        <w:t>食慾不振</w:t>
      </w:r>
      <w:r>
        <w:rPr>
          <w:rFonts w:ascii="微軟正黑體" w:eastAsia="微軟正黑體" w:hAnsi="微軟正黑體" w:cs="Calibri" w:hint="eastAsia"/>
          <w:color w:val="131314"/>
          <w:sz w:val="22"/>
          <w:szCs w:val="22"/>
        </w:rPr>
        <w:t xml:space="preserve"> (anorexia) </w:t>
      </w:r>
    </w:p>
    <w:p w:rsidR="005E55E6" w:rsidRDefault="005E55E6">
      <w:pPr>
        <w:numPr>
          <w:ilvl w:val="3"/>
          <w:numId w:val="2"/>
        </w:numPr>
        <w:spacing w:line="320" w:lineRule="atLeast"/>
        <w:textAlignment w:val="center"/>
        <w:rPr>
          <w:rFonts w:ascii="Calibri" w:hAnsi="Calibri" w:cs="Calibri"/>
          <w:sz w:val="22"/>
          <w:szCs w:val="22"/>
        </w:rPr>
      </w:pPr>
      <w:r>
        <w:rPr>
          <w:rFonts w:ascii="微軟正黑體" w:eastAsia="微軟正黑體" w:hAnsi="微軟正黑體" w:cs="Calibri" w:hint="eastAsia"/>
          <w:color w:val="131314"/>
          <w:sz w:val="22"/>
          <w:szCs w:val="22"/>
        </w:rPr>
        <w:t>體重減輕</w:t>
      </w:r>
      <w:r>
        <w:rPr>
          <w:rFonts w:ascii="微軟正黑體" w:eastAsia="微軟正黑體" w:hAnsi="微軟正黑體" w:cs="Calibri" w:hint="eastAsia"/>
          <w:color w:val="131314"/>
          <w:sz w:val="22"/>
          <w:szCs w:val="22"/>
        </w:rPr>
        <w:t xml:space="preserve"> (weight loss)</w:t>
      </w:r>
    </w:p>
    <w:p w:rsidR="005E55E6" w:rsidRDefault="005E55E6">
      <w:pPr>
        <w:numPr>
          <w:ilvl w:val="1"/>
          <w:numId w:val="2"/>
        </w:numPr>
        <w:spacing w:line="420" w:lineRule="atLeast"/>
        <w:textAlignment w:val="center"/>
        <w:rPr>
          <w:rFonts w:ascii="Calibri" w:hAnsi="Calibri" w:cs="Calibri"/>
          <w:sz w:val="22"/>
          <w:szCs w:val="22"/>
        </w:rPr>
      </w:pPr>
      <w:r>
        <w:rPr>
          <w:rFonts w:ascii="微軟正黑體" w:eastAsia="微軟正黑體" w:hAnsi="微軟正黑體" w:cs="Calibri" w:hint="eastAsia"/>
          <w:sz w:val="28"/>
          <w:szCs w:val="28"/>
        </w:rPr>
        <w:t>食道鱗狀細胞癌</w:t>
      </w:r>
      <w:r>
        <w:rPr>
          <w:rFonts w:ascii="微軟正黑體" w:eastAsia="微軟正黑體" w:hAnsi="微軟正黑體" w:cs="Calibri" w:hint="eastAsia"/>
          <w:color w:val="131314"/>
          <w:sz w:val="28"/>
          <w:szCs w:val="28"/>
        </w:rPr>
        <w:t>ESCC</w:t>
      </w:r>
      <w:r>
        <w:rPr>
          <w:rFonts w:ascii="微軟正黑體" w:eastAsia="微軟正黑體" w:hAnsi="微軟正黑體" w:cs="Calibri" w:hint="eastAsia"/>
          <w:color w:val="131314"/>
          <w:sz w:val="28"/>
          <w:szCs w:val="28"/>
        </w:rPr>
        <w:t>、</w:t>
      </w:r>
      <w:r>
        <w:rPr>
          <w:rFonts w:ascii="微軟正黑體" w:eastAsia="微軟正黑體" w:hAnsi="微軟正黑體" w:cs="Calibri" w:hint="eastAsia"/>
          <w:sz w:val="28"/>
          <w:szCs w:val="28"/>
        </w:rPr>
        <w:t>食道腺癌</w:t>
      </w:r>
      <w:r>
        <w:rPr>
          <w:rFonts w:ascii="微軟正黑體" w:eastAsia="微軟正黑體" w:hAnsi="微軟正黑體" w:cs="Calibri" w:hint="eastAsia"/>
          <w:color w:val="131314"/>
          <w:sz w:val="28"/>
          <w:szCs w:val="28"/>
        </w:rPr>
        <w:t xml:space="preserve">EAC </w:t>
      </w:r>
      <w:r>
        <w:rPr>
          <w:rFonts w:ascii="微軟正黑體" w:eastAsia="微軟正黑體" w:hAnsi="微軟正黑體" w:cs="Calibri" w:hint="eastAsia"/>
          <w:color w:val="131314"/>
          <w:sz w:val="28"/>
          <w:szCs w:val="28"/>
        </w:rPr>
        <w:t>比較</w:t>
      </w:r>
    </w:p>
    <w:p w:rsidR="005E55E6" w:rsidRDefault="005E55E6">
      <w:pPr>
        <w:numPr>
          <w:ilvl w:val="2"/>
          <w:numId w:val="2"/>
        </w:numPr>
        <w:textAlignment w:val="center"/>
        <w:divId w:val="1992101556"/>
        <w:rPr>
          <w:rFonts w:ascii="Calibri" w:hAnsi="Calibri" w:cs="Calibri"/>
          <w:sz w:val="22"/>
          <w:szCs w:val="22"/>
        </w:rPr>
      </w:pPr>
    </w:p>
    <w:tbl>
      <w:tblPr>
        <w:tblW w:w="0" w:type="auto"/>
        <w:tblInd w:w="2160" w:type="dxa"/>
        <w:tblBorders>
          <w:top w:val="single" w:sz="8" w:space="0" w:color="A3A3A3"/>
          <w:left w:val="single" w:sz="8" w:space="0" w:color="A3A3A3"/>
          <w:bottom w:val="single" w:sz="8" w:space="0" w:color="A3A3A3"/>
          <w:right w:val="single" w:sz="8" w:space="0" w:color="A3A3A3"/>
        </w:tblBorders>
        <w:tblCellMar>
          <w:left w:w="0" w:type="dxa"/>
          <w:right w:w="0" w:type="dxa"/>
        </w:tblCellMar>
        <w:tblLook w:val="04A0" w:firstRow="1" w:lastRow="0" w:firstColumn="1" w:lastColumn="0" w:noHBand="0" w:noVBand="1"/>
        <w:tblCaption w:val=""/>
        <w:tblDescription w:val=""/>
      </w:tblPr>
      <w:tblGrid>
        <w:gridCol w:w="931"/>
        <w:gridCol w:w="2228"/>
        <w:gridCol w:w="2967"/>
      </w:tblGrid>
      <w:tr w:rsidR="00000000">
        <w:trPr>
          <w:divId w:val="1992101556"/>
        </w:trPr>
        <w:tc>
          <w:tcPr>
            <w:tcW w:w="1382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:rsidR="005E55E6" w:rsidRDefault="005E55E6">
            <w:pPr>
              <w:pStyle w:val="Web"/>
              <w:spacing w:before="0" w:beforeAutospacing="0" w:after="0" w:afterAutospacing="0" w:line="320" w:lineRule="atLeast"/>
              <w:jc w:val="center"/>
              <w:rPr>
                <w:rFonts w:ascii="微軟正黑體" w:eastAsia="微軟正黑體" w:hAnsi="微軟正黑體"/>
                <w:sz w:val="22"/>
                <w:szCs w:val="22"/>
              </w:rPr>
            </w:pPr>
            <w:r>
              <w:rPr>
                <w:rFonts w:ascii="微軟正黑體" w:eastAsia="微軟正黑體" w:hAnsi="微軟正黑體" w:hint="eastAsia"/>
                <w:sz w:val="22"/>
                <w:szCs w:val="22"/>
              </w:rPr>
              <w:t>類別</w:t>
            </w:r>
          </w:p>
        </w:tc>
        <w:tc>
          <w:tcPr>
            <w:tcW w:w="3626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:rsidR="005E55E6" w:rsidRDefault="005E55E6">
            <w:pPr>
              <w:pStyle w:val="Web"/>
              <w:spacing w:before="0" w:beforeAutospacing="0" w:after="0" w:afterAutospacing="0" w:line="320" w:lineRule="atLeast"/>
              <w:jc w:val="center"/>
              <w:rPr>
                <w:rFonts w:ascii="微軟正黑體" w:eastAsia="微軟正黑體" w:hAnsi="微軟正黑體" w:hint="eastAsia"/>
                <w:sz w:val="22"/>
                <w:szCs w:val="22"/>
              </w:rPr>
            </w:pPr>
            <w:r>
              <w:rPr>
                <w:rFonts w:ascii="微軟正黑體" w:eastAsia="微軟正黑體" w:hAnsi="微軟正黑體" w:hint="eastAsia"/>
                <w:sz w:val="22"/>
                <w:szCs w:val="22"/>
              </w:rPr>
              <w:t>食道鱗狀細胞癌（</w:t>
            </w:r>
            <w:r>
              <w:rPr>
                <w:rFonts w:ascii="微軟正黑體" w:eastAsia="微軟正黑體" w:hAnsi="微軟正黑體" w:hint="eastAsia"/>
                <w:sz w:val="22"/>
                <w:szCs w:val="22"/>
              </w:rPr>
              <w:t>ESCC</w:t>
            </w:r>
            <w:r>
              <w:rPr>
                <w:rFonts w:ascii="微軟正黑體" w:eastAsia="微軟正黑體" w:hAnsi="微軟正黑體" w:hint="eastAsia"/>
                <w:sz w:val="22"/>
                <w:szCs w:val="22"/>
              </w:rPr>
              <w:t>）</w:t>
            </w:r>
          </w:p>
        </w:tc>
        <w:tc>
          <w:tcPr>
            <w:tcW w:w="3440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:rsidR="005E55E6" w:rsidRDefault="005E55E6">
            <w:pPr>
              <w:pStyle w:val="Web"/>
              <w:spacing w:before="0" w:beforeAutospacing="0" w:after="0" w:afterAutospacing="0" w:line="320" w:lineRule="atLeast"/>
              <w:jc w:val="center"/>
              <w:rPr>
                <w:rFonts w:ascii="微軟正黑體" w:eastAsia="微軟正黑體" w:hAnsi="微軟正黑體" w:hint="eastAsia"/>
                <w:sz w:val="22"/>
                <w:szCs w:val="22"/>
              </w:rPr>
            </w:pPr>
            <w:r>
              <w:rPr>
                <w:rFonts w:ascii="微軟正黑體" w:eastAsia="微軟正黑體" w:hAnsi="微軟正黑體" w:hint="eastAsia"/>
                <w:sz w:val="22"/>
                <w:szCs w:val="22"/>
              </w:rPr>
              <w:t>食道腺癌（</w:t>
            </w:r>
            <w:r>
              <w:rPr>
                <w:rFonts w:ascii="微軟正黑體" w:eastAsia="微軟正黑體" w:hAnsi="微軟正黑體" w:hint="eastAsia"/>
                <w:sz w:val="22"/>
                <w:szCs w:val="22"/>
              </w:rPr>
              <w:t>EAC</w:t>
            </w:r>
            <w:r>
              <w:rPr>
                <w:rFonts w:ascii="微軟正黑體" w:eastAsia="微軟正黑體" w:hAnsi="微軟正黑體" w:hint="eastAsia"/>
                <w:sz w:val="22"/>
                <w:szCs w:val="22"/>
              </w:rPr>
              <w:t>）</w:t>
            </w:r>
          </w:p>
        </w:tc>
      </w:tr>
      <w:tr w:rsidR="00000000">
        <w:trPr>
          <w:divId w:val="1992101556"/>
        </w:trPr>
        <w:tc>
          <w:tcPr>
            <w:tcW w:w="1382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:rsidR="005E55E6" w:rsidRDefault="005E55E6">
            <w:pPr>
              <w:pStyle w:val="Web"/>
              <w:spacing w:before="0" w:beforeAutospacing="0" w:after="0" w:afterAutospacing="0" w:line="320" w:lineRule="atLeast"/>
              <w:rPr>
                <w:rFonts w:ascii="微軟正黑體" w:eastAsia="微軟正黑體" w:hAnsi="微軟正黑體" w:hint="eastAsia"/>
                <w:sz w:val="22"/>
                <w:szCs w:val="22"/>
              </w:rPr>
            </w:pPr>
            <w:r>
              <w:rPr>
                <w:rFonts w:ascii="微軟正黑體" w:eastAsia="微軟正黑體" w:hAnsi="微軟正黑體" w:hint="eastAsia"/>
                <w:sz w:val="22"/>
                <w:szCs w:val="22"/>
              </w:rPr>
              <w:t>好發部位</w:t>
            </w:r>
          </w:p>
        </w:tc>
        <w:tc>
          <w:tcPr>
            <w:tcW w:w="3626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:rsidR="005E55E6" w:rsidRDefault="005E55E6">
            <w:pPr>
              <w:pStyle w:val="Web"/>
              <w:spacing w:before="0" w:beforeAutospacing="0" w:after="0" w:afterAutospacing="0" w:line="320" w:lineRule="atLeast"/>
              <w:rPr>
                <w:rFonts w:ascii="微軟正黑體" w:eastAsia="微軟正黑體" w:hAnsi="微軟正黑體" w:hint="eastAsia"/>
                <w:sz w:val="22"/>
                <w:szCs w:val="22"/>
              </w:rPr>
            </w:pPr>
            <w:r>
              <w:rPr>
                <w:rFonts w:ascii="微軟正黑體" w:eastAsia="微軟正黑體" w:hAnsi="微軟正黑體" w:hint="eastAsia"/>
                <w:sz w:val="22"/>
                <w:szCs w:val="22"/>
              </w:rPr>
              <w:t>食道</w:t>
            </w:r>
            <w:r>
              <w:rPr>
                <w:rFonts w:ascii="微軟正黑體" w:eastAsia="微軟正黑體" w:hAnsi="微軟正黑體" w:hint="eastAsia"/>
                <w:color w:val="C00000"/>
                <w:sz w:val="22"/>
                <w:szCs w:val="22"/>
              </w:rPr>
              <w:t>上部與中部</w:t>
            </w:r>
          </w:p>
        </w:tc>
        <w:tc>
          <w:tcPr>
            <w:tcW w:w="3400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:rsidR="005E55E6" w:rsidRDefault="005E55E6">
            <w:pPr>
              <w:pStyle w:val="Web"/>
              <w:spacing w:before="0" w:beforeAutospacing="0" w:after="0" w:afterAutospacing="0" w:line="320" w:lineRule="atLeast"/>
              <w:rPr>
                <w:rFonts w:ascii="微軟正黑體" w:eastAsia="微軟正黑體" w:hAnsi="微軟正黑體" w:hint="eastAsia"/>
                <w:sz w:val="22"/>
                <w:szCs w:val="22"/>
              </w:rPr>
            </w:pPr>
            <w:r>
              <w:rPr>
                <w:rFonts w:ascii="微軟正黑體" w:eastAsia="微軟正黑體" w:hAnsi="微軟正黑體" w:hint="eastAsia"/>
                <w:sz w:val="22"/>
                <w:szCs w:val="22"/>
              </w:rPr>
              <w:t>食道</w:t>
            </w:r>
            <w:r>
              <w:rPr>
                <w:rFonts w:ascii="微軟正黑體" w:eastAsia="微軟正黑體" w:hAnsi="微軟正黑體" w:hint="eastAsia"/>
                <w:color w:val="C00000"/>
                <w:sz w:val="22"/>
                <w:szCs w:val="22"/>
              </w:rPr>
              <w:t>下部與胃食道交接處</w:t>
            </w:r>
          </w:p>
        </w:tc>
      </w:tr>
      <w:tr w:rsidR="00000000">
        <w:trPr>
          <w:divId w:val="1992101556"/>
        </w:trPr>
        <w:tc>
          <w:tcPr>
            <w:tcW w:w="1382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:rsidR="005E55E6" w:rsidRDefault="005E55E6">
            <w:pPr>
              <w:pStyle w:val="Web"/>
              <w:spacing w:before="0" w:beforeAutospacing="0" w:after="0" w:afterAutospacing="0" w:line="320" w:lineRule="atLeast"/>
              <w:rPr>
                <w:rFonts w:ascii="微軟正黑體" w:eastAsia="微軟正黑體" w:hAnsi="微軟正黑體" w:hint="eastAsia"/>
                <w:sz w:val="22"/>
                <w:szCs w:val="22"/>
              </w:rPr>
            </w:pPr>
            <w:r>
              <w:rPr>
                <w:rFonts w:ascii="微軟正黑體" w:eastAsia="微軟正黑體" w:hAnsi="微軟正黑體" w:hint="eastAsia"/>
                <w:sz w:val="22"/>
                <w:szCs w:val="22"/>
              </w:rPr>
              <w:t>地理分布</w:t>
            </w:r>
          </w:p>
        </w:tc>
        <w:tc>
          <w:tcPr>
            <w:tcW w:w="3643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:rsidR="005E55E6" w:rsidRDefault="005E55E6">
            <w:pPr>
              <w:pStyle w:val="Web"/>
              <w:spacing w:before="0" w:beforeAutospacing="0" w:after="0" w:afterAutospacing="0" w:line="320" w:lineRule="atLeast"/>
              <w:rPr>
                <w:rFonts w:ascii="微軟正黑體" w:eastAsia="微軟正黑體" w:hAnsi="微軟正黑體" w:hint="eastAsia"/>
                <w:sz w:val="22"/>
                <w:szCs w:val="22"/>
              </w:rPr>
            </w:pPr>
            <w:r>
              <w:rPr>
                <w:rFonts w:ascii="微軟正黑體" w:eastAsia="微軟正黑體" w:hAnsi="微軟正黑體" w:hint="eastAsia"/>
                <w:color w:val="C00000"/>
                <w:sz w:val="22"/>
                <w:szCs w:val="22"/>
              </w:rPr>
              <w:t>亞洲</w:t>
            </w:r>
            <w:r>
              <w:rPr>
                <w:rFonts w:ascii="微軟正黑體" w:eastAsia="微軟正黑體" w:hAnsi="微軟正黑體" w:hint="eastAsia"/>
                <w:sz w:val="22"/>
                <w:szCs w:val="22"/>
              </w:rPr>
              <w:t>（特別是中國）、中東（如伊朗）、法國北部</w:t>
            </w:r>
          </w:p>
        </w:tc>
        <w:tc>
          <w:tcPr>
            <w:tcW w:w="3381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:rsidR="005E55E6" w:rsidRDefault="005E55E6">
            <w:pPr>
              <w:pStyle w:val="Web"/>
              <w:spacing w:before="0" w:beforeAutospacing="0" w:after="0" w:afterAutospacing="0" w:line="320" w:lineRule="atLeast"/>
              <w:rPr>
                <w:rFonts w:ascii="微軟正黑體" w:eastAsia="微軟正黑體" w:hAnsi="微軟正黑體" w:hint="eastAsia"/>
                <w:color w:val="C00000"/>
                <w:sz w:val="22"/>
                <w:szCs w:val="22"/>
              </w:rPr>
            </w:pPr>
            <w:r>
              <w:rPr>
                <w:rFonts w:ascii="微軟正黑體" w:eastAsia="微軟正黑體" w:hAnsi="微軟正黑體" w:hint="eastAsia"/>
                <w:color w:val="C00000"/>
                <w:sz w:val="22"/>
                <w:szCs w:val="22"/>
              </w:rPr>
              <w:t>美國、西歐</w:t>
            </w:r>
          </w:p>
        </w:tc>
      </w:tr>
      <w:tr w:rsidR="00000000">
        <w:trPr>
          <w:divId w:val="1992101556"/>
        </w:trPr>
        <w:tc>
          <w:tcPr>
            <w:tcW w:w="1382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:rsidR="005E55E6" w:rsidRDefault="005E55E6">
            <w:pPr>
              <w:pStyle w:val="Web"/>
              <w:spacing w:before="0" w:beforeAutospacing="0" w:after="0" w:afterAutospacing="0" w:line="320" w:lineRule="atLeast"/>
              <w:rPr>
                <w:rFonts w:ascii="微軟正黑體" w:eastAsia="微軟正黑體" w:hAnsi="微軟正黑體" w:hint="eastAsia"/>
                <w:sz w:val="22"/>
                <w:szCs w:val="22"/>
              </w:rPr>
            </w:pPr>
            <w:r>
              <w:rPr>
                <w:rFonts w:ascii="微軟正黑體" w:eastAsia="微軟正黑體" w:hAnsi="微軟正黑體" w:hint="eastAsia"/>
                <w:sz w:val="22"/>
                <w:szCs w:val="22"/>
              </w:rPr>
              <w:t>危險因子</w:t>
            </w:r>
          </w:p>
        </w:tc>
        <w:tc>
          <w:tcPr>
            <w:tcW w:w="3653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:rsidR="005E55E6" w:rsidRDefault="005E55E6">
            <w:pPr>
              <w:pStyle w:val="Web"/>
              <w:spacing w:before="0" w:beforeAutospacing="0" w:after="0" w:afterAutospacing="0" w:line="320" w:lineRule="atLeast"/>
              <w:rPr>
                <w:rFonts w:ascii="微軟正黑體" w:eastAsia="微軟正黑體" w:hAnsi="微軟正黑體" w:hint="eastAsia"/>
                <w:sz w:val="22"/>
                <w:szCs w:val="22"/>
              </w:rPr>
            </w:pPr>
            <w:r>
              <w:rPr>
                <w:rFonts w:ascii="微軟正黑體" w:eastAsia="微軟正黑體" w:hAnsi="微軟正黑體" w:hint="eastAsia"/>
                <w:color w:val="C00000"/>
                <w:sz w:val="22"/>
                <w:szCs w:val="22"/>
              </w:rPr>
              <w:t>酗酒</w:t>
            </w:r>
            <w:r>
              <w:rPr>
                <w:rFonts w:ascii="微軟正黑體" w:eastAsia="微軟正黑體" w:hAnsi="微軟正黑體" w:hint="eastAsia"/>
                <w:sz w:val="22"/>
                <w:szCs w:val="22"/>
              </w:rPr>
              <w:t>、</w:t>
            </w:r>
            <w:r>
              <w:rPr>
                <w:rFonts w:ascii="微軟正黑體" w:eastAsia="微軟正黑體" w:hAnsi="微軟正黑體" w:hint="eastAsia"/>
                <w:color w:val="C00000"/>
                <w:sz w:val="22"/>
                <w:szCs w:val="22"/>
              </w:rPr>
              <w:t>吸菸</w:t>
            </w:r>
            <w:r>
              <w:rPr>
                <w:rFonts w:ascii="微軟正黑體" w:eastAsia="微軟正黑體" w:hAnsi="微軟正黑體" w:hint="eastAsia"/>
                <w:sz w:val="22"/>
                <w:szCs w:val="22"/>
              </w:rPr>
              <w:t>、熱飲、硝酸鹽、</w:t>
            </w:r>
            <w:r>
              <w:rPr>
                <w:rFonts w:ascii="微軟正黑體" w:eastAsia="微軟正黑體" w:hAnsi="微軟正黑體" w:hint="eastAsia"/>
                <w:sz w:val="22"/>
                <w:szCs w:val="22"/>
              </w:rPr>
              <w:t xml:space="preserve"> </w:t>
            </w:r>
            <w:r>
              <w:rPr>
                <w:rFonts w:ascii="微軟正黑體" w:eastAsia="微軟正黑體" w:hAnsi="微軟正黑體" w:hint="eastAsia"/>
                <w:sz w:val="22"/>
                <w:szCs w:val="22"/>
              </w:rPr>
              <w:t>放射治療、食道失弛症</w:t>
            </w:r>
            <w:r>
              <w:rPr>
                <w:rFonts w:ascii="微軟正黑體" w:eastAsia="微軟正黑體" w:hAnsi="微軟正黑體" w:hint="eastAsia"/>
                <w:sz w:val="22"/>
                <w:szCs w:val="22"/>
              </w:rPr>
              <w:t>(achalasia)</w:t>
            </w:r>
          </w:p>
        </w:tc>
        <w:tc>
          <w:tcPr>
            <w:tcW w:w="3453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:rsidR="005E55E6" w:rsidRDefault="005E55E6">
            <w:pPr>
              <w:pStyle w:val="Web"/>
              <w:spacing w:before="0" w:beforeAutospacing="0" w:after="0" w:afterAutospacing="0" w:line="320" w:lineRule="atLeast"/>
              <w:rPr>
                <w:rFonts w:ascii="微軟正黑體" w:eastAsia="微軟正黑體" w:hAnsi="微軟正黑體" w:hint="eastAsia"/>
                <w:sz w:val="22"/>
                <w:szCs w:val="22"/>
              </w:rPr>
            </w:pPr>
            <w:r>
              <w:rPr>
                <w:rFonts w:ascii="微軟正黑體" w:eastAsia="微軟正黑體" w:hAnsi="微軟正黑體" w:hint="eastAsia"/>
                <w:color w:val="C00000"/>
                <w:sz w:val="22"/>
                <w:szCs w:val="22"/>
              </w:rPr>
              <w:t>慢性胃食道逆流（</w:t>
            </w:r>
            <w:r>
              <w:rPr>
                <w:rFonts w:ascii="微軟正黑體" w:eastAsia="微軟正黑體" w:hAnsi="微軟正黑體" w:hint="eastAsia"/>
                <w:color w:val="C00000"/>
                <w:sz w:val="22"/>
                <w:szCs w:val="22"/>
              </w:rPr>
              <w:t>GERD</w:t>
            </w:r>
            <w:r>
              <w:rPr>
                <w:rFonts w:ascii="微軟正黑體" w:eastAsia="微軟正黑體" w:hAnsi="微軟正黑體" w:hint="eastAsia"/>
                <w:color w:val="C00000"/>
                <w:sz w:val="22"/>
                <w:szCs w:val="22"/>
              </w:rPr>
              <w:t>）、巴瑞特氏食道</w:t>
            </w:r>
            <w:r>
              <w:rPr>
                <w:rFonts w:ascii="微軟正黑體" w:eastAsia="微軟正黑體" w:hAnsi="微軟正黑體" w:hint="eastAsia"/>
                <w:sz w:val="22"/>
                <w:szCs w:val="22"/>
              </w:rPr>
              <w:t>、肥胖、男性、吸菸</w:t>
            </w:r>
          </w:p>
        </w:tc>
      </w:tr>
      <w:tr w:rsidR="00000000">
        <w:trPr>
          <w:divId w:val="1992101556"/>
        </w:trPr>
        <w:tc>
          <w:tcPr>
            <w:tcW w:w="1410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:rsidR="005E55E6" w:rsidRDefault="005E55E6">
            <w:pPr>
              <w:pStyle w:val="Web"/>
              <w:spacing w:before="0" w:beforeAutospacing="0" w:after="0" w:afterAutospacing="0" w:line="320" w:lineRule="atLeast"/>
              <w:rPr>
                <w:rFonts w:ascii="微軟正黑體" w:eastAsia="微軟正黑體" w:hAnsi="微軟正黑體" w:hint="eastAsia"/>
                <w:sz w:val="22"/>
                <w:szCs w:val="22"/>
              </w:rPr>
            </w:pPr>
            <w:r>
              <w:rPr>
                <w:rFonts w:ascii="微軟正黑體" w:eastAsia="微軟正黑體" w:hAnsi="微軟正黑體" w:hint="eastAsia"/>
                <w:sz w:val="22"/>
                <w:szCs w:val="22"/>
              </w:rPr>
              <w:t>與遺傳疾病相關</w:t>
            </w:r>
          </w:p>
        </w:tc>
        <w:tc>
          <w:tcPr>
            <w:tcW w:w="3626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:rsidR="005E55E6" w:rsidRDefault="005E55E6">
            <w:pPr>
              <w:pStyle w:val="Web"/>
              <w:spacing w:before="0" w:beforeAutospacing="0" w:after="0" w:afterAutospacing="0" w:line="320" w:lineRule="atLeast"/>
              <w:rPr>
                <w:rFonts w:ascii="微軟正黑體" w:eastAsia="微軟正黑體" w:hAnsi="微軟正黑體" w:hint="eastAsia"/>
                <w:sz w:val="22"/>
                <w:szCs w:val="22"/>
              </w:rPr>
            </w:pPr>
            <w:r>
              <w:rPr>
                <w:rFonts w:ascii="微軟正黑體" w:eastAsia="微軟正黑體" w:hAnsi="微軟正黑體" w:hint="eastAsia"/>
                <w:sz w:val="22"/>
                <w:szCs w:val="22"/>
              </w:rPr>
              <w:t>Tylosis</w:t>
            </w:r>
            <w:r>
              <w:rPr>
                <w:rFonts w:ascii="微軟正黑體" w:eastAsia="微軟正黑體" w:hAnsi="微軟正黑體" w:hint="eastAsia"/>
                <w:sz w:val="22"/>
                <w:szCs w:val="22"/>
              </w:rPr>
              <w:t>（</w:t>
            </w:r>
            <w:r>
              <w:rPr>
                <w:rFonts w:ascii="微軟正黑體" w:eastAsia="微軟正黑體" w:hAnsi="微軟正黑體" w:hint="eastAsia"/>
                <w:sz w:val="22"/>
                <w:szCs w:val="22"/>
              </w:rPr>
              <w:t>RHBDF2</w:t>
            </w:r>
            <w:r>
              <w:rPr>
                <w:rFonts w:ascii="微軟正黑體" w:eastAsia="微軟正黑體" w:hAnsi="微軟正黑體" w:hint="eastAsia"/>
                <w:sz w:val="22"/>
                <w:szCs w:val="22"/>
              </w:rPr>
              <w:t>突變）</w:t>
            </w:r>
            <w:r>
              <w:rPr>
                <w:rFonts w:ascii="微軟正黑體" w:eastAsia="微軟正黑體" w:hAnsi="微軟正黑體" w:hint="eastAsia"/>
                <w:color w:val="C00000"/>
                <w:sz w:val="22"/>
                <w:szCs w:val="22"/>
              </w:rPr>
              <w:t>Plummer-Vinson</w:t>
            </w:r>
            <w:r>
              <w:rPr>
                <w:rFonts w:ascii="微軟正黑體" w:eastAsia="微軟正黑體" w:hAnsi="微軟正黑體" w:hint="eastAsia"/>
                <w:color w:val="C00000"/>
                <w:sz w:val="22"/>
                <w:szCs w:val="22"/>
              </w:rPr>
              <w:t>症候群</w:t>
            </w:r>
          </w:p>
        </w:tc>
        <w:tc>
          <w:tcPr>
            <w:tcW w:w="3372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:rsidR="005E55E6" w:rsidRDefault="005E55E6">
            <w:pPr>
              <w:pStyle w:val="Web"/>
              <w:spacing w:before="0" w:beforeAutospacing="0" w:after="0" w:afterAutospacing="0" w:line="320" w:lineRule="atLeast"/>
              <w:rPr>
                <w:rFonts w:ascii="微軟正黑體" w:eastAsia="微軟正黑體" w:hAnsi="微軟正黑體" w:hint="eastAsia"/>
                <w:sz w:val="22"/>
                <w:szCs w:val="22"/>
              </w:rPr>
            </w:pPr>
            <w:r>
              <w:rPr>
                <w:rFonts w:ascii="微軟正黑體" w:eastAsia="微軟正黑體" w:hAnsi="微軟正黑體" w:hint="eastAsia"/>
                <w:sz w:val="22"/>
                <w:szCs w:val="22"/>
              </w:rPr>
              <w:t>林奇症候群（輕微關聯）</w:t>
            </w:r>
          </w:p>
        </w:tc>
      </w:tr>
      <w:tr w:rsidR="00000000">
        <w:trPr>
          <w:divId w:val="1992101556"/>
        </w:trPr>
        <w:tc>
          <w:tcPr>
            <w:tcW w:w="1382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:rsidR="005E55E6" w:rsidRDefault="005E55E6">
            <w:pPr>
              <w:pStyle w:val="Web"/>
              <w:spacing w:before="0" w:beforeAutospacing="0" w:after="0" w:afterAutospacing="0" w:line="320" w:lineRule="atLeast"/>
              <w:rPr>
                <w:rFonts w:ascii="微軟正黑體" w:eastAsia="微軟正黑體" w:hAnsi="微軟正黑體" w:hint="eastAsia"/>
                <w:sz w:val="22"/>
                <w:szCs w:val="22"/>
              </w:rPr>
            </w:pPr>
            <w:r>
              <w:rPr>
                <w:rFonts w:ascii="微軟正黑體" w:eastAsia="微軟正黑體" w:hAnsi="微軟正黑體" w:hint="eastAsia"/>
                <w:sz w:val="22"/>
                <w:szCs w:val="22"/>
              </w:rPr>
              <w:t>常見症狀</w:t>
            </w:r>
          </w:p>
        </w:tc>
        <w:tc>
          <w:tcPr>
            <w:tcW w:w="3643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:rsidR="005E55E6" w:rsidRDefault="005E55E6">
            <w:pPr>
              <w:pStyle w:val="Web"/>
              <w:spacing w:before="0" w:beforeAutospacing="0" w:after="0" w:afterAutospacing="0" w:line="320" w:lineRule="atLeast"/>
              <w:rPr>
                <w:rFonts w:ascii="微軟正黑體" w:eastAsia="微軟正黑體" w:hAnsi="微軟正黑體" w:hint="eastAsia"/>
                <w:sz w:val="22"/>
                <w:szCs w:val="22"/>
              </w:rPr>
            </w:pPr>
            <w:r>
              <w:rPr>
                <w:rFonts w:ascii="微軟正黑體" w:eastAsia="微軟正黑體" w:hAnsi="微軟正黑體" w:hint="eastAsia"/>
                <w:sz w:val="22"/>
                <w:szCs w:val="22"/>
              </w:rPr>
              <w:t>吞嚥困難、吞嚥疼痛、體重減輕、吐血、黑便</w:t>
            </w:r>
          </w:p>
        </w:tc>
        <w:tc>
          <w:tcPr>
            <w:tcW w:w="3381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:rsidR="005E55E6" w:rsidRDefault="005E55E6">
            <w:pPr>
              <w:pStyle w:val="Web"/>
              <w:spacing w:before="0" w:beforeAutospacing="0" w:after="0" w:afterAutospacing="0" w:line="320" w:lineRule="atLeast"/>
              <w:rPr>
                <w:rFonts w:ascii="微軟正黑體" w:eastAsia="微軟正黑體" w:hAnsi="微軟正黑體" w:hint="eastAsia"/>
                <w:sz w:val="22"/>
                <w:szCs w:val="22"/>
              </w:rPr>
            </w:pPr>
            <w:r>
              <w:rPr>
                <w:rFonts w:ascii="微軟正黑體" w:eastAsia="微軟正黑體" w:hAnsi="微軟正黑體" w:hint="eastAsia"/>
                <w:sz w:val="22"/>
                <w:szCs w:val="22"/>
              </w:rPr>
              <w:t>同上，症狀幾乎相同</w:t>
            </w:r>
          </w:p>
        </w:tc>
      </w:tr>
      <w:tr w:rsidR="00000000">
        <w:trPr>
          <w:divId w:val="1992101556"/>
        </w:trPr>
        <w:tc>
          <w:tcPr>
            <w:tcW w:w="1382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:rsidR="005E55E6" w:rsidRDefault="005E55E6">
            <w:pPr>
              <w:pStyle w:val="Web"/>
              <w:spacing w:before="0" w:beforeAutospacing="0" w:after="0" w:afterAutospacing="0" w:line="320" w:lineRule="atLeast"/>
              <w:rPr>
                <w:rFonts w:ascii="微軟正黑體" w:eastAsia="微軟正黑體" w:hAnsi="微軟正黑體" w:hint="eastAsia"/>
                <w:sz w:val="22"/>
                <w:szCs w:val="22"/>
              </w:rPr>
            </w:pPr>
            <w:r>
              <w:rPr>
                <w:rFonts w:ascii="微軟正黑體" w:eastAsia="微軟正黑體" w:hAnsi="微軟正黑體" w:hint="eastAsia"/>
                <w:sz w:val="22"/>
                <w:szCs w:val="22"/>
              </w:rPr>
              <w:t>基因特徵</w:t>
            </w:r>
          </w:p>
        </w:tc>
        <w:tc>
          <w:tcPr>
            <w:tcW w:w="3643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:rsidR="005E55E6" w:rsidRDefault="005E55E6">
            <w:pPr>
              <w:pStyle w:val="Web"/>
              <w:spacing w:before="0" w:beforeAutospacing="0" w:after="0" w:afterAutospacing="0" w:line="320" w:lineRule="atLeast"/>
              <w:rPr>
                <w:rFonts w:ascii="微軟正黑體" w:eastAsia="微軟正黑體" w:hAnsi="微軟正黑體" w:hint="eastAsia"/>
                <w:sz w:val="22"/>
                <w:szCs w:val="22"/>
              </w:rPr>
            </w:pPr>
            <w:r>
              <w:rPr>
                <w:rFonts w:ascii="微軟正黑體" w:eastAsia="微軟正黑體" w:hAnsi="微軟正黑體" w:hint="eastAsia"/>
                <w:sz w:val="22"/>
                <w:szCs w:val="22"/>
              </w:rPr>
              <w:t>類似其他鱗狀細胞癌（頭頸部）但無</w:t>
            </w:r>
            <w:r>
              <w:rPr>
                <w:rFonts w:ascii="微軟正黑體" w:eastAsia="微軟正黑體" w:hAnsi="微軟正黑體" w:hint="eastAsia"/>
                <w:sz w:val="22"/>
                <w:szCs w:val="22"/>
              </w:rPr>
              <w:t xml:space="preserve"> HPV </w:t>
            </w:r>
            <w:r>
              <w:rPr>
                <w:rFonts w:ascii="微軟正黑體" w:eastAsia="微軟正黑體" w:hAnsi="微軟正黑體" w:hint="eastAsia"/>
                <w:sz w:val="22"/>
                <w:szCs w:val="22"/>
              </w:rPr>
              <w:t>關聯</w:t>
            </w:r>
          </w:p>
        </w:tc>
        <w:tc>
          <w:tcPr>
            <w:tcW w:w="3534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:rsidR="005E55E6" w:rsidRDefault="005E55E6">
            <w:pPr>
              <w:pStyle w:val="Web"/>
              <w:spacing w:before="0" w:beforeAutospacing="0" w:after="0" w:afterAutospacing="0" w:line="320" w:lineRule="atLeast"/>
              <w:rPr>
                <w:rFonts w:ascii="微軟正黑體" w:eastAsia="微軟正黑體" w:hAnsi="微軟正黑體" w:hint="eastAsia"/>
                <w:sz w:val="22"/>
                <w:szCs w:val="22"/>
              </w:rPr>
            </w:pPr>
            <w:r>
              <w:rPr>
                <w:rFonts w:ascii="微軟正黑體" w:eastAsia="微軟正黑體" w:hAnsi="微軟正黑體" w:hint="eastAsia"/>
                <w:sz w:val="22"/>
                <w:szCs w:val="22"/>
              </w:rPr>
              <w:t>類似胃腺癌</w:t>
            </w:r>
            <w:r>
              <w:rPr>
                <w:rFonts w:ascii="微軟正黑體" w:eastAsia="微軟正黑體" w:hAnsi="微軟正黑體" w:hint="eastAsia"/>
                <w:sz w:val="22"/>
                <w:szCs w:val="22"/>
              </w:rPr>
              <w:t xml:space="preserve"> CIN </w:t>
            </w:r>
            <w:r>
              <w:rPr>
                <w:rFonts w:ascii="微軟正黑體" w:eastAsia="微軟正黑體" w:hAnsi="微軟正黑體" w:hint="eastAsia"/>
                <w:sz w:val="22"/>
                <w:szCs w:val="22"/>
              </w:rPr>
              <w:t>亞型</w:t>
            </w:r>
            <w:r>
              <w:rPr>
                <w:rFonts w:ascii="微軟正黑體" w:eastAsia="微軟正黑體" w:hAnsi="微軟正黑體" w:hint="eastAsia"/>
                <w:sz w:val="22"/>
                <w:szCs w:val="22"/>
              </w:rPr>
              <w:t>TP53</w:t>
            </w:r>
            <w:r>
              <w:rPr>
                <w:rFonts w:ascii="微軟正黑體" w:eastAsia="微軟正黑體" w:hAnsi="微軟正黑體" w:hint="eastAsia"/>
                <w:sz w:val="22"/>
                <w:szCs w:val="22"/>
              </w:rPr>
              <w:t>突變、</w:t>
            </w:r>
            <w:r>
              <w:rPr>
                <w:rFonts w:ascii="微軟正黑體" w:eastAsia="微軟正黑體" w:hAnsi="微軟正黑體" w:hint="eastAsia"/>
                <w:sz w:val="22"/>
                <w:szCs w:val="22"/>
              </w:rPr>
              <w:t xml:space="preserve">HER2/VEGFA/GATA4/6 </w:t>
            </w:r>
            <w:r>
              <w:rPr>
                <w:rFonts w:ascii="微軟正黑體" w:eastAsia="微軟正黑體" w:hAnsi="微軟正黑體" w:hint="eastAsia"/>
                <w:sz w:val="22"/>
                <w:szCs w:val="22"/>
              </w:rPr>
              <w:t>擴增</w:t>
            </w:r>
          </w:p>
        </w:tc>
      </w:tr>
      <w:tr w:rsidR="00000000">
        <w:trPr>
          <w:divId w:val="1992101556"/>
        </w:trPr>
        <w:tc>
          <w:tcPr>
            <w:tcW w:w="1382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:rsidR="005E55E6" w:rsidRDefault="005E55E6">
            <w:pPr>
              <w:pStyle w:val="Web"/>
              <w:spacing w:before="0" w:beforeAutospacing="0" w:after="0" w:afterAutospacing="0" w:line="320" w:lineRule="atLeast"/>
              <w:rPr>
                <w:rFonts w:ascii="微軟正黑體" w:eastAsia="微軟正黑體" w:hAnsi="微軟正黑體" w:hint="eastAsia"/>
                <w:sz w:val="22"/>
                <w:szCs w:val="22"/>
              </w:rPr>
            </w:pPr>
            <w:r>
              <w:rPr>
                <w:rFonts w:ascii="微軟正黑體" w:eastAsia="微軟正黑體" w:hAnsi="微軟正黑體" w:hint="eastAsia"/>
                <w:sz w:val="22"/>
                <w:szCs w:val="22"/>
              </w:rPr>
              <w:t>分子標記</w:t>
            </w:r>
          </w:p>
        </w:tc>
        <w:tc>
          <w:tcPr>
            <w:tcW w:w="3626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:rsidR="005E55E6" w:rsidRDefault="005E55E6">
            <w:pPr>
              <w:pStyle w:val="Web"/>
              <w:spacing w:before="0" w:beforeAutospacing="0" w:after="0" w:afterAutospacing="0" w:line="320" w:lineRule="atLeast"/>
              <w:rPr>
                <w:rFonts w:ascii="微軟正黑體" w:eastAsia="微軟正黑體" w:hAnsi="微軟正黑體" w:hint="eastAsia"/>
                <w:color w:val="C00000"/>
                <w:sz w:val="22"/>
                <w:szCs w:val="22"/>
              </w:rPr>
            </w:pPr>
            <w:r>
              <w:rPr>
                <w:rFonts w:ascii="微軟正黑體" w:eastAsia="微軟正黑體" w:hAnsi="微軟正黑體" w:hint="eastAsia"/>
                <w:color w:val="C00000"/>
                <w:sz w:val="22"/>
                <w:szCs w:val="22"/>
              </w:rPr>
              <w:t>無明確靶點治療基因</w:t>
            </w:r>
          </w:p>
        </w:tc>
        <w:tc>
          <w:tcPr>
            <w:tcW w:w="3590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:rsidR="005E55E6" w:rsidRDefault="005E55E6">
            <w:pPr>
              <w:pStyle w:val="Web"/>
              <w:spacing w:before="0" w:beforeAutospacing="0" w:after="0" w:afterAutospacing="0" w:line="320" w:lineRule="atLeast"/>
              <w:rPr>
                <w:rFonts w:ascii="微軟正黑體" w:eastAsia="微軟正黑體" w:hAnsi="微軟正黑體" w:hint="eastAsia"/>
                <w:sz w:val="22"/>
                <w:szCs w:val="22"/>
              </w:rPr>
            </w:pPr>
            <w:r>
              <w:rPr>
                <w:rFonts w:ascii="微軟正黑體" w:eastAsia="微軟正黑體" w:hAnsi="微軟正黑體" w:hint="eastAsia"/>
                <w:color w:val="C00000"/>
                <w:sz w:val="22"/>
                <w:szCs w:val="22"/>
              </w:rPr>
              <w:t>HER2</w:t>
            </w:r>
            <w:r>
              <w:rPr>
                <w:rFonts w:ascii="微軟正黑體" w:eastAsia="微軟正黑體" w:hAnsi="微軟正黑體" w:hint="eastAsia"/>
                <w:sz w:val="22"/>
                <w:szCs w:val="22"/>
              </w:rPr>
              <w:t>擴增（約</w:t>
            </w:r>
            <w:r>
              <w:rPr>
                <w:rFonts w:ascii="微軟正黑體" w:eastAsia="微軟正黑體" w:hAnsi="微軟正黑體" w:hint="eastAsia"/>
                <w:sz w:val="22"/>
                <w:szCs w:val="22"/>
              </w:rPr>
              <w:t>25%</w:t>
            </w:r>
            <w:r>
              <w:rPr>
                <w:rFonts w:ascii="微軟正黑體" w:eastAsia="微軟正黑體" w:hAnsi="微軟正黑體" w:hint="eastAsia"/>
                <w:sz w:val="22"/>
                <w:szCs w:val="22"/>
              </w:rPr>
              <w:t>）</w:t>
            </w:r>
            <w:r>
              <w:rPr>
                <w:rFonts w:ascii="微軟正黑體" w:eastAsia="微軟正黑體" w:hAnsi="微軟正黑體" w:hint="eastAsia"/>
                <w:sz w:val="22"/>
                <w:szCs w:val="22"/>
              </w:rPr>
              <w:t>PD-L1</w:t>
            </w:r>
            <w:r>
              <w:rPr>
                <w:rFonts w:ascii="微軟正黑體" w:eastAsia="微軟正黑體" w:hAnsi="微軟正黑體" w:hint="eastAsia"/>
                <w:sz w:val="22"/>
                <w:szCs w:val="22"/>
              </w:rPr>
              <w:t>表現微衛星不穩定（少數）</w:t>
            </w:r>
          </w:p>
        </w:tc>
      </w:tr>
      <w:tr w:rsidR="00000000">
        <w:trPr>
          <w:divId w:val="1992101556"/>
        </w:trPr>
        <w:tc>
          <w:tcPr>
            <w:tcW w:w="1382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:rsidR="005E55E6" w:rsidRDefault="005E55E6">
            <w:pPr>
              <w:pStyle w:val="Web"/>
              <w:spacing w:before="0" w:beforeAutospacing="0" w:after="0" w:afterAutospacing="0" w:line="320" w:lineRule="atLeast"/>
              <w:rPr>
                <w:rFonts w:ascii="微軟正黑體" w:eastAsia="微軟正黑體" w:hAnsi="微軟正黑體" w:hint="eastAsia"/>
                <w:sz w:val="22"/>
                <w:szCs w:val="22"/>
              </w:rPr>
            </w:pPr>
            <w:r>
              <w:rPr>
                <w:rFonts w:ascii="微軟正黑體" w:eastAsia="微軟正黑體" w:hAnsi="微軟正黑體" w:hint="eastAsia"/>
                <w:sz w:val="22"/>
                <w:szCs w:val="22"/>
              </w:rPr>
              <w:t>診斷工具</w:t>
            </w:r>
          </w:p>
        </w:tc>
        <w:tc>
          <w:tcPr>
            <w:tcW w:w="3653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:rsidR="005E55E6" w:rsidRDefault="005E55E6">
            <w:pPr>
              <w:pStyle w:val="Web"/>
              <w:spacing w:before="0" w:beforeAutospacing="0" w:after="0" w:afterAutospacing="0" w:line="320" w:lineRule="atLeast"/>
              <w:rPr>
                <w:rFonts w:ascii="微軟正黑體" w:eastAsia="微軟正黑體" w:hAnsi="微軟正黑體" w:hint="eastAsia"/>
                <w:sz w:val="22"/>
                <w:szCs w:val="22"/>
              </w:rPr>
            </w:pPr>
            <w:r>
              <w:rPr>
                <w:rFonts w:ascii="微軟正黑體" w:eastAsia="微軟正黑體" w:hAnsi="微軟正黑體" w:hint="eastAsia"/>
                <w:sz w:val="22"/>
                <w:szCs w:val="22"/>
              </w:rPr>
              <w:t>內視鏡＋切片、</w:t>
            </w:r>
            <w:r>
              <w:rPr>
                <w:rFonts w:ascii="微軟正黑體" w:eastAsia="微軟正黑體" w:hAnsi="微軟正黑體" w:hint="eastAsia"/>
                <w:sz w:val="22"/>
                <w:szCs w:val="22"/>
              </w:rPr>
              <w:t>EUS</w:t>
            </w:r>
            <w:r>
              <w:rPr>
                <w:rFonts w:ascii="微軟正黑體" w:eastAsia="微軟正黑體" w:hAnsi="微軟正黑體" w:hint="eastAsia"/>
                <w:sz w:val="22"/>
                <w:szCs w:val="22"/>
              </w:rPr>
              <w:t>、</w:t>
            </w:r>
            <w:r>
              <w:rPr>
                <w:rFonts w:ascii="微軟正黑體" w:eastAsia="微軟正黑體" w:hAnsi="微軟正黑體" w:hint="eastAsia"/>
                <w:sz w:val="22"/>
                <w:szCs w:val="22"/>
              </w:rPr>
              <w:t>CT/PET</w:t>
            </w:r>
            <w:r>
              <w:rPr>
                <w:rFonts w:ascii="微軟正黑體" w:eastAsia="微軟正黑體" w:hAnsi="微軟正黑體" w:hint="eastAsia"/>
                <w:sz w:val="22"/>
                <w:szCs w:val="22"/>
              </w:rPr>
              <w:t>、支氣管鏡（上段病灶）</w:t>
            </w:r>
          </w:p>
        </w:tc>
        <w:tc>
          <w:tcPr>
            <w:tcW w:w="3372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:rsidR="005E55E6" w:rsidRDefault="005E55E6">
            <w:pPr>
              <w:pStyle w:val="Web"/>
              <w:spacing w:before="0" w:beforeAutospacing="0" w:after="0" w:afterAutospacing="0" w:line="320" w:lineRule="atLeast"/>
              <w:rPr>
                <w:rFonts w:ascii="微軟正黑體" w:eastAsia="微軟正黑體" w:hAnsi="微軟正黑體" w:hint="eastAsia"/>
                <w:sz w:val="22"/>
                <w:szCs w:val="22"/>
              </w:rPr>
            </w:pPr>
            <w:r>
              <w:rPr>
                <w:rFonts w:ascii="微軟正黑體" w:eastAsia="微軟正黑體" w:hAnsi="微軟正黑體" w:hint="eastAsia"/>
                <w:sz w:val="22"/>
                <w:szCs w:val="22"/>
              </w:rPr>
              <w:t>同</w:t>
            </w:r>
            <w:r>
              <w:rPr>
                <w:rFonts w:ascii="微軟正黑體" w:eastAsia="微軟正黑體" w:hAnsi="微軟正黑體" w:hint="eastAsia"/>
                <w:sz w:val="22"/>
                <w:szCs w:val="22"/>
              </w:rPr>
              <w:t xml:space="preserve"> ESCC</w:t>
            </w:r>
          </w:p>
        </w:tc>
      </w:tr>
      <w:tr w:rsidR="00000000">
        <w:trPr>
          <w:divId w:val="1992101556"/>
        </w:trPr>
        <w:tc>
          <w:tcPr>
            <w:tcW w:w="1410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:rsidR="005E55E6" w:rsidRDefault="005E55E6">
            <w:pPr>
              <w:pStyle w:val="Web"/>
              <w:spacing w:before="0" w:beforeAutospacing="0" w:after="0" w:afterAutospacing="0" w:line="320" w:lineRule="atLeast"/>
              <w:rPr>
                <w:rFonts w:ascii="微軟正黑體" w:eastAsia="微軟正黑體" w:hAnsi="微軟正黑體" w:hint="eastAsia"/>
                <w:sz w:val="22"/>
                <w:szCs w:val="22"/>
              </w:rPr>
            </w:pPr>
            <w:r>
              <w:rPr>
                <w:rFonts w:ascii="微軟正黑體" w:eastAsia="微軟正黑體" w:hAnsi="微軟正黑體" w:hint="eastAsia"/>
                <w:sz w:val="22"/>
                <w:szCs w:val="22"/>
              </w:rPr>
              <w:t>治療（局限型）</w:t>
            </w:r>
          </w:p>
        </w:tc>
        <w:tc>
          <w:tcPr>
            <w:tcW w:w="3626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:rsidR="005E55E6" w:rsidRDefault="005E55E6">
            <w:pPr>
              <w:pStyle w:val="Web"/>
              <w:spacing w:before="0" w:beforeAutospacing="0" w:after="0" w:afterAutospacing="0" w:line="320" w:lineRule="atLeast"/>
              <w:rPr>
                <w:rFonts w:ascii="微軟正黑體" w:eastAsia="微軟正黑體" w:hAnsi="微軟正黑體" w:hint="eastAsia"/>
                <w:sz w:val="22"/>
                <w:szCs w:val="22"/>
              </w:rPr>
            </w:pPr>
            <w:r>
              <w:rPr>
                <w:rFonts w:ascii="微軟正黑體" w:eastAsia="微軟正黑體" w:hAnsi="微軟正黑體" w:hint="eastAsia"/>
                <w:sz w:val="22"/>
                <w:szCs w:val="22"/>
              </w:rPr>
              <w:t>化學放療為主，手術為輔</w:t>
            </w:r>
          </w:p>
        </w:tc>
        <w:tc>
          <w:tcPr>
            <w:tcW w:w="3460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:rsidR="005E55E6" w:rsidRDefault="005E55E6">
            <w:pPr>
              <w:pStyle w:val="Web"/>
              <w:spacing w:before="0" w:beforeAutospacing="0" w:after="0" w:afterAutospacing="0" w:line="320" w:lineRule="atLeast"/>
              <w:rPr>
                <w:rFonts w:ascii="微軟正黑體" w:eastAsia="微軟正黑體" w:hAnsi="微軟正黑體" w:hint="eastAsia"/>
                <w:sz w:val="22"/>
                <w:szCs w:val="22"/>
              </w:rPr>
            </w:pPr>
            <w:r>
              <w:rPr>
                <w:rFonts w:ascii="微軟正黑體" w:eastAsia="微軟正黑體" w:hAnsi="微軟正黑體" w:hint="eastAsia"/>
                <w:sz w:val="22"/>
                <w:szCs w:val="22"/>
              </w:rPr>
              <w:t>新輔助化療</w:t>
            </w:r>
            <w:r>
              <w:rPr>
                <w:rFonts w:ascii="微軟正黑體" w:eastAsia="微軟正黑體" w:hAnsi="微軟正黑體" w:hint="eastAsia"/>
                <w:sz w:val="22"/>
                <w:szCs w:val="22"/>
              </w:rPr>
              <w:t xml:space="preserve"> </w:t>
            </w:r>
            <w:r>
              <w:rPr>
                <w:rFonts w:ascii="微軟正黑體" w:eastAsia="微軟正黑體" w:hAnsi="微軟正黑體" w:hint="eastAsia"/>
                <w:sz w:val="22"/>
                <w:szCs w:val="22"/>
              </w:rPr>
              <w:t>±</w:t>
            </w:r>
            <w:r>
              <w:rPr>
                <w:rFonts w:ascii="微軟正黑體" w:eastAsia="微軟正黑體" w:hAnsi="微軟正黑體" w:hint="eastAsia"/>
                <w:sz w:val="22"/>
                <w:szCs w:val="22"/>
              </w:rPr>
              <w:t xml:space="preserve"> </w:t>
            </w:r>
            <w:r>
              <w:rPr>
                <w:rFonts w:ascii="微軟正黑體" w:eastAsia="微軟正黑體" w:hAnsi="微軟正黑體" w:hint="eastAsia"/>
                <w:sz w:val="22"/>
                <w:szCs w:val="22"/>
              </w:rPr>
              <w:t>放療</w:t>
            </w:r>
            <w:r>
              <w:rPr>
                <w:rFonts w:ascii="微軟正黑體" w:eastAsia="微軟正黑體" w:hAnsi="微軟正黑體" w:hint="eastAsia"/>
                <w:sz w:val="22"/>
                <w:szCs w:val="22"/>
              </w:rPr>
              <w:t xml:space="preserve"> + </w:t>
            </w:r>
            <w:r>
              <w:rPr>
                <w:rFonts w:ascii="微軟正黑體" w:eastAsia="微軟正黑體" w:hAnsi="微軟正黑體" w:hint="eastAsia"/>
                <w:sz w:val="22"/>
                <w:szCs w:val="22"/>
              </w:rPr>
              <w:t>手術</w:t>
            </w:r>
            <w:r>
              <w:rPr>
                <w:rFonts w:ascii="微軟正黑體" w:eastAsia="微軟正黑體" w:hAnsi="微軟正黑體" w:hint="eastAsia"/>
                <w:sz w:val="22"/>
                <w:szCs w:val="22"/>
              </w:rPr>
              <w:t xml:space="preserve"> + </w:t>
            </w:r>
            <w:r>
              <w:rPr>
                <w:rFonts w:ascii="微軟正黑體" w:eastAsia="微軟正黑體" w:hAnsi="微軟正黑體" w:hint="eastAsia"/>
                <w:sz w:val="22"/>
                <w:szCs w:val="22"/>
              </w:rPr>
              <w:t>輔助治療</w:t>
            </w:r>
          </w:p>
        </w:tc>
      </w:tr>
      <w:tr w:rsidR="00000000">
        <w:trPr>
          <w:divId w:val="1992101556"/>
        </w:trPr>
        <w:tc>
          <w:tcPr>
            <w:tcW w:w="1410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:rsidR="005E55E6" w:rsidRDefault="005E55E6">
            <w:pPr>
              <w:pStyle w:val="Web"/>
              <w:spacing w:before="0" w:beforeAutospacing="0" w:after="0" w:afterAutospacing="0" w:line="320" w:lineRule="atLeast"/>
              <w:rPr>
                <w:rFonts w:ascii="微軟正黑體" w:eastAsia="微軟正黑體" w:hAnsi="微軟正黑體" w:hint="eastAsia"/>
                <w:sz w:val="22"/>
                <w:szCs w:val="22"/>
              </w:rPr>
            </w:pPr>
            <w:r>
              <w:rPr>
                <w:rFonts w:ascii="微軟正黑體" w:eastAsia="微軟正黑體" w:hAnsi="微軟正黑體" w:hint="eastAsia"/>
                <w:sz w:val="22"/>
                <w:szCs w:val="22"/>
              </w:rPr>
              <w:t>治療（轉移型）</w:t>
            </w:r>
          </w:p>
        </w:tc>
        <w:tc>
          <w:tcPr>
            <w:tcW w:w="3626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:rsidR="005E55E6" w:rsidRDefault="005E55E6">
            <w:pPr>
              <w:pStyle w:val="Web"/>
              <w:spacing w:before="0" w:beforeAutospacing="0" w:after="0" w:afterAutospacing="0" w:line="320" w:lineRule="atLeast"/>
              <w:rPr>
                <w:rFonts w:ascii="微軟正黑體" w:eastAsia="微軟正黑體" w:hAnsi="微軟正黑體" w:hint="eastAsia"/>
                <w:sz w:val="22"/>
                <w:szCs w:val="22"/>
              </w:rPr>
            </w:pPr>
            <w:r>
              <w:rPr>
                <w:rFonts w:ascii="微軟正黑體" w:eastAsia="微軟正黑體" w:hAnsi="微軟正黑體" w:hint="eastAsia"/>
                <w:sz w:val="22"/>
                <w:szCs w:val="22"/>
              </w:rPr>
              <w:t>化學治療</w:t>
            </w:r>
            <w:r>
              <w:rPr>
                <w:rFonts w:ascii="微軟正黑體" w:eastAsia="微軟正黑體" w:hAnsi="微軟正黑體" w:hint="eastAsia"/>
                <w:sz w:val="22"/>
                <w:szCs w:val="22"/>
              </w:rPr>
              <w:t xml:space="preserve"> </w:t>
            </w:r>
            <w:r>
              <w:rPr>
                <w:rFonts w:ascii="微軟正黑體" w:eastAsia="微軟正黑體" w:hAnsi="微軟正黑體" w:hint="eastAsia"/>
                <w:sz w:val="22"/>
                <w:szCs w:val="22"/>
              </w:rPr>
              <w:t>±</w:t>
            </w:r>
            <w:r>
              <w:rPr>
                <w:rFonts w:ascii="微軟正黑體" w:eastAsia="微軟正黑體" w:hAnsi="微軟正黑體" w:hint="eastAsia"/>
                <w:sz w:val="22"/>
                <w:szCs w:val="22"/>
              </w:rPr>
              <w:t xml:space="preserve"> </w:t>
            </w:r>
            <w:r>
              <w:rPr>
                <w:rFonts w:ascii="微軟正黑體" w:eastAsia="微軟正黑體" w:hAnsi="微軟正黑體" w:hint="eastAsia"/>
                <w:sz w:val="22"/>
                <w:szCs w:val="22"/>
              </w:rPr>
              <w:t>免疫治療（</w:t>
            </w:r>
            <w:r>
              <w:rPr>
                <w:rFonts w:ascii="微軟正黑體" w:eastAsia="微軟正黑體" w:hAnsi="微軟正黑體" w:hint="eastAsia"/>
                <w:sz w:val="22"/>
                <w:szCs w:val="22"/>
              </w:rPr>
              <w:t>PD-1</w:t>
            </w:r>
            <w:r>
              <w:rPr>
                <w:rFonts w:ascii="微軟正黑體" w:eastAsia="微軟正黑體" w:hAnsi="微軟正黑體" w:hint="eastAsia"/>
                <w:sz w:val="22"/>
                <w:szCs w:val="22"/>
              </w:rPr>
              <w:t>抑制劑）</w:t>
            </w:r>
          </w:p>
        </w:tc>
        <w:tc>
          <w:tcPr>
            <w:tcW w:w="3590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:rsidR="005E55E6" w:rsidRDefault="005E55E6">
            <w:pPr>
              <w:pStyle w:val="Web"/>
              <w:spacing w:before="0" w:beforeAutospacing="0" w:after="0" w:afterAutospacing="0" w:line="320" w:lineRule="atLeast"/>
              <w:rPr>
                <w:rFonts w:ascii="微軟正黑體" w:eastAsia="微軟正黑體" w:hAnsi="微軟正黑體" w:hint="eastAsia"/>
                <w:sz w:val="22"/>
                <w:szCs w:val="22"/>
              </w:rPr>
            </w:pPr>
            <w:r>
              <w:rPr>
                <w:rFonts w:ascii="微軟正黑體" w:eastAsia="微軟正黑體" w:hAnsi="微軟正黑體" w:hint="eastAsia"/>
                <w:sz w:val="22"/>
                <w:szCs w:val="22"/>
              </w:rPr>
              <w:t>HER2</w:t>
            </w:r>
            <w:r>
              <w:rPr>
                <w:rFonts w:ascii="微軟正黑體" w:eastAsia="微軟正黑體" w:hAnsi="微軟正黑體" w:hint="eastAsia"/>
                <w:sz w:val="22"/>
                <w:szCs w:val="22"/>
              </w:rPr>
              <w:t>陽性可用</w:t>
            </w:r>
            <w:r>
              <w:rPr>
                <w:rFonts w:ascii="微軟正黑體" w:eastAsia="微軟正黑體" w:hAnsi="微軟正黑體" w:hint="eastAsia"/>
                <w:sz w:val="22"/>
                <w:szCs w:val="22"/>
              </w:rPr>
              <w:t>TrastuzumabPD-L1</w:t>
            </w:r>
            <w:r>
              <w:rPr>
                <w:rFonts w:ascii="微軟正黑體" w:eastAsia="微軟正黑體" w:hAnsi="微軟正黑體" w:hint="eastAsia"/>
                <w:sz w:val="22"/>
                <w:szCs w:val="22"/>
              </w:rPr>
              <w:t>陽性或</w:t>
            </w:r>
            <w:r>
              <w:rPr>
                <w:rFonts w:ascii="微軟正黑體" w:eastAsia="微軟正黑體" w:hAnsi="微軟正黑體" w:hint="eastAsia"/>
                <w:sz w:val="22"/>
                <w:szCs w:val="22"/>
              </w:rPr>
              <w:t>MSI</w:t>
            </w:r>
            <w:r>
              <w:rPr>
                <w:rFonts w:ascii="微軟正黑體" w:eastAsia="微軟正黑體" w:hAnsi="微軟正黑體" w:hint="eastAsia"/>
                <w:sz w:val="22"/>
                <w:szCs w:val="22"/>
              </w:rPr>
              <w:t>高者用</w:t>
            </w:r>
            <w:r>
              <w:rPr>
                <w:rFonts w:ascii="微軟正黑體" w:eastAsia="微軟正黑體" w:hAnsi="微軟正黑體" w:hint="eastAsia"/>
                <w:sz w:val="22"/>
                <w:szCs w:val="22"/>
              </w:rPr>
              <w:t>PD-1</w:t>
            </w:r>
            <w:r>
              <w:rPr>
                <w:rFonts w:ascii="微軟正黑體" w:eastAsia="微軟正黑體" w:hAnsi="微軟正黑體" w:hint="eastAsia"/>
                <w:sz w:val="22"/>
                <w:szCs w:val="22"/>
              </w:rPr>
              <w:t>抑制劑</w:t>
            </w:r>
          </w:p>
        </w:tc>
      </w:tr>
      <w:tr w:rsidR="00000000">
        <w:trPr>
          <w:divId w:val="1992101556"/>
        </w:trPr>
        <w:tc>
          <w:tcPr>
            <w:tcW w:w="1410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:rsidR="005E55E6" w:rsidRDefault="005E55E6">
            <w:pPr>
              <w:pStyle w:val="Web"/>
              <w:spacing w:before="0" w:beforeAutospacing="0" w:after="0" w:afterAutospacing="0" w:line="320" w:lineRule="atLeast"/>
              <w:rPr>
                <w:rFonts w:ascii="微軟正黑體" w:eastAsia="微軟正黑體" w:hAnsi="微軟正黑體" w:hint="eastAsia"/>
                <w:sz w:val="22"/>
                <w:szCs w:val="22"/>
              </w:rPr>
            </w:pPr>
            <w:r>
              <w:rPr>
                <w:rFonts w:ascii="微軟正黑體" w:eastAsia="微軟正黑體" w:hAnsi="微軟正黑體" w:hint="eastAsia"/>
                <w:sz w:val="22"/>
                <w:szCs w:val="22"/>
              </w:rPr>
              <w:t>五年存活率</w:t>
            </w:r>
          </w:p>
        </w:tc>
        <w:tc>
          <w:tcPr>
            <w:tcW w:w="3626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:rsidR="005E55E6" w:rsidRDefault="005E55E6">
            <w:pPr>
              <w:pStyle w:val="Web"/>
              <w:spacing w:before="0" w:beforeAutospacing="0" w:after="0" w:afterAutospacing="0" w:line="320" w:lineRule="atLeast"/>
              <w:rPr>
                <w:rFonts w:ascii="微軟正黑體" w:eastAsia="微軟正黑體" w:hAnsi="微軟正黑體" w:hint="eastAsia"/>
                <w:sz w:val="22"/>
                <w:szCs w:val="22"/>
              </w:rPr>
            </w:pPr>
            <w:r>
              <w:rPr>
                <w:rFonts w:ascii="微軟正黑體" w:eastAsia="微軟正黑體" w:hAnsi="微軟正黑體" w:hint="eastAsia"/>
                <w:sz w:val="22"/>
                <w:szCs w:val="22"/>
              </w:rPr>
              <w:t>預後較差（多診斷時為晚期）</w:t>
            </w:r>
          </w:p>
        </w:tc>
        <w:tc>
          <w:tcPr>
            <w:tcW w:w="3524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:rsidR="005E55E6" w:rsidRDefault="005E55E6">
            <w:pPr>
              <w:pStyle w:val="Web"/>
              <w:spacing w:before="0" w:beforeAutospacing="0" w:after="0" w:afterAutospacing="0" w:line="320" w:lineRule="atLeast"/>
              <w:rPr>
                <w:rFonts w:ascii="微軟正黑體" w:eastAsia="微軟正黑體" w:hAnsi="微軟正黑體" w:hint="eastAsia"/>
                <w:sz w:val="22"/>
                <w:szCs w:val="22"/>
              </w:rPr>
            </w:pPr>
            <w:r>
              <w:rPr>
                <w:rFonts w:ascii="微軟正黑體" w:eastAsia="微軟正黑體" w:hAnsi="微軟正黑體" w:hint="eastAsia"/>
                <w:sz w:val="22"/>
                <w:szCs w:val="22"/>
              </w:rPr>
              <w:t>預後略佳，但也偏低；視分期與治療而異</w:t>
            </w:r>
          </w:p>
        </w:tc>
      </w:tr>
    </w:tbl>
    <w:p w:rsidR="005E55E6" w:rsidRDefault="005E55E6">
      <w:pPr>
        <w:numPr>
          <w:ilvl w:val="2"/>
          <w:numId w:val="2"/>
        </w:numPr>
        <w:spacing w:line="300" w:lineRule="atLeast"/>
        <w:textAlignment w:val="center"/>
        <w:rPr>
          <w:rFonts w:ascii="Calibri" w:hAnsi="Calibri" w:cs="Calibri" w:hint="eastAsia"/>
          <w:sz w:val="22"/>
          <w:szCs w:val="22"/>
        </w:rPr>
      </w:pPr>
      <w:r>
        <w:rPr>
          <w:rFonts w:ascii="微軟正黑體" w:eastAsia="微軟正黑體" w:hAnsi="微軟正黑體" w:cs="Calibri" w:hint="eastAsia"/>
          <w:sz w:val="22"/>
          <w:szCs w:val="22"/>
        </w:rPr>
        <w:t>補充</w:t>
      </w:r>
    </w:p>
    <w:p w:rsidR="005E55E6" w:rsidRDefault="005E55E6">
      <w:pPr>
        <w:numPr>
          <w:ilvl w:val="3"/>
          <w:numId w:val="2"/>
        </w:numPr>
        <w:spacing w:line="320" w:lineRule="atLeast"/>
        <w:textAlignment w:val="center"/>
        <w:rPr>
          <w:rFonts w:ascii="Calibri" w:hAnsi="Calibri" w:cs="Calibri"/>
          <w:sz w:val="22"/>
          <w:szCs w:val="22"/>
        </w:rPr>
      </w:pPr>
      <w:r>
        <w:rPr>
          <w:rFonts w:ascii="微軟正黑體" w:eastAsia="微軟正黑體" w:hAnsi="微軟正黑體" w:cs="Calibri" w:hint="eastAsia"/>
          <w:sz w:val="22"/>
          <w:szCs w:val="22"/>
        </w:rPr>
        <w:t>Plummer-Vinson</w:t>
      </w:r>
      <w:r>
        <w:rPr>
          <w:rFonts w:ascii="微軟正黑體" w:eastAsia="微軟正黑體" w:hAnsi="微軟正黑體" w:cs="Calibri" w:hint="eastAsia"/>
          <w:sz w:val="22"/>
          <w:szCs w:val="22"/>
        </w:rPr>
        <w:t>症候群</w:t>
      </w:r>
    </w:p>
    <w:p w:rsidR="005E55E6" w:rsidRDefault="005E55E6">
      <w:pPr>
        <w:numPr>
          <w:ilvl w:val="4"/>
          <w:numId w:val="2"/>
        </w:numPr>
        <w:spacing w:line="320" w:lineRule="atLeast"/>
        <w:textAlignment w:val="center"/>
        <w:rPr>
          <w:rFonts w:ascii="Calibri" w:hAnsi="Calibri" w:cs="Calibri"/>
          <w:sz w:val="22"/>
          <w:szCs w:val="22"/>
        </w:rPr>
      </w:pPr>
      <w:r>
        <w:rPr>
          <w:rFonts w:ascii="微軟正黑體" w:eastAsia="微軟正黑體" w:hAnsi="微軟正黑體" w:cs="Calibri" w:hint="eastAsia"/>
          <w:sz w:val="22"/>
          <w:szCs w:val="22"/>
        </w:rPr>
        <w:t>又稱</w:t>
      </w:r>
      <w:r>
        <w:rPr>
          <w:rFonts w:ascii="微軟正黑體" w:eastAsia="微軟正黑體" w:hAnsi="微軟正黑體" w:cs="Calibri" w:hint="eastAsia"/>
          <w:sz w:val="22"/>
          <w:szCs w:val="22"/>
        </w:rPr>
        <w:t xml:space="preserve">Paterson-Kelly </w:t>
      </w:r>
      <w:r>
        <w:rPr>
          <w:rFonts w:ascii="微軟正黑體" w:eastAsia="微軟正黑體" w:hAnsi="微軟正黑體" w:cs="Calibri" w:hint="eastAsia"/>
          <w:sz w:val="22"/>
          <w:szCs w:val="22"/>
        </w:rPr>
        <w:t>症候群</w:t>
      </w:r>
    </w:p>
    <w:p w:rsidR="005E55E6" w:rsidRDefault="005E55E6">
      <w:pPr>
        <w:numPr>
          <w:ilvl w:val="4"/>
          <w:numId w:val="2"/>
        </w:numPr>
        <w:spacing w:line="320" w:lineRule="atLeast"/>
        <w:textAlignment w:val="center"/>
        <w:rPr>
          <w:rFonts w:ascii="Calibri" w:hAnsi="Calibri" w:cs="Calibri"/>
          <w:sz w:val="22"/>
          <w:szCs w:val="22"/>
        </w:rPr>
      </w:pPr>
      <w:r>
        <w:rPr>
          <w:rFonts w:ascii="微軟正黑體" w:eastAsia="微軟正黑體" w:hAnsi="微軟正黑體" w:cs="Calibri" w:hint="eastAsia"/>
          <w:sz w:val="22"/>
          <w:szCs w:val="22"/>
        </w:rPr>
        <w:t>好發於</w:t>
      </w:r>
      <w:r>
        <w:rPr>
          <w:rFonts w:ascii="微軟正黑體" w:eastAsia="微軟正黑體" w:hAnsi="微軟正黑體" w:cs="Calibri" w:hint="eastAsia"/>
          <w:color w:val="C00000"/>
          <w:sz w:val="22"/>
          <w:szCs w:val="22"/>
        </w:rPr>
        <w:t>慢性缺鐵性貧血的中年婦女</w:t>
      </w:r>
    </w:p>
    <w:p w:rsidR="005E55E6" w:rsidRDefault="005E55E6">
      <w:pPr>
        <w:numPr>
          <w:ilvl w:val="4"/>
          <w:numId w:val="2"/>
        </w:numPr>
        <w:spacing w:line="320" w:lineRule="atLeast"/>
        <w:textAlignment w:val="center"/>
        <w:rPr>
          <w:rFonts w:ascii="Calibri" w:hAnsi="Calibri" w:cs="Calibri"/>
          <w:sz w:val="22"/>
          <w:szCs w:val="22"/>
        </w:rPr>
      </w:pPr>
      <w:r>
        <w:rPr>
          <w:rFonts w:ascii="微軟正黑體" w:eastAsia="微軟正黑體" w:hAnsi="微軟正黑體" w:cs="Calibri" w:hint="eastAsia"/>
          <w:sz w:val="22"/>
          <w:szCs w:val="22"/>
        </w:rPr>
        <w:t>屬於</w:t>
      </w:r>
      <w:r>
        <w:rPr>
          <w:rFonts w:ascii="微軟正黑體" w:eastAsia="微軟正黑體" w:hAnsi="微軟正黑體" w:cs="Calibri" w:hint="eastAsia"/>
          <w:sz w:val="22"/>
          <w:szCs w:val="22"/>
        </w:rPr>
        <w:t>ESSC</w:t>
      </w:r>
      <w:r>
        <w:rPr>
          <w:rFonts w:ascii="微軟正黑體" w:eastAsia="微軟正黑體" w:hAnsi="微軟正黑體" w:cs="Calibri" w:hint="eastAsia"/>
          <w:sz w:val="22"/>
          <w:szCs w:val="22"/>
        </w:rPr>
        <w:t>癌前病變</w:t>
      </w:r>
    </w:p>
    <w:p w:rsidR="005E55E6" w:rsidRDefault="005E55E6">
      <w:pPr>
        <w:numPr>
          <w:ilvl w:val="5"/>
          <w:numId w:val="2"/>
        </w:numPr>
        <w:spacing w:line="320" w:lineRule="atLeast"/>
        <w:textAlignment w:val="center"/>
        <w:rPr>
          <w:rFonts w:ascii="Calibri" w:hAnsi="Calibri" w:cs="Calibri"/>
          <w:sz w:val="22"/>
          <w:szCs w:val="22"/>
        </w:rPr>
      </w:pPr>
      <w:r>
        <w:rPr>
          <w:rFonts w:ascii="微軟正黑體" w:eastAsia="微軟正黑體" w:hAnsi="微軟正黑體" w:cs="Calibri" w:hint="eastAsia"/>
          <w:sz w:val="22"/>
          <w:szCs w:val="22"/>
        </w:rPr>
        <w:t>缺鐵影響黏膜細胞代謝</w:t>
      </w:r>
      <w:r>
        <w:rPr>
          <w:rFonts w:ascii="微軟正黑體" w:eastAsia="微軟正黑體" w:hAnsi="微軟正黑體" w:cs="Calibri" w:hint="eastAsia"/>
          <w:sz w:val="22"/>
          <w:szCs w:val="22"/>
        </w:rPr>
        <w:t xml:space="preserve"> </w:t>
      </w:r>
      <w:r>
        <w:rPr>
          <w:rFonts w:ascii="微軟正黑體" w:eastAsia="微軟正黑體" w:hAnsi="微軟正黑體" w:cs="Calibri" w:hint="eastAsia"/>
          <w:sz w:val="22"/>
          <w:szCs w:val="22"/>
        </w:rPr>
        <w:t>→</w:t>
      </w:r>
      <w:r>
        <w:rPr>
          <w:rFonts w:ascii="微軟正黑體" w:eastAsia="微軟正黑體" w:hAnsi="微軟正黑體" w:cs="Calibri" w:hint="eastAsia"/>
          <w:sz w:val="22"/>
          <w:szCs w:val="22"/>
        </w:rPr>
        <w:t xml:space="preserve"> </w:t>
      </w:r>
      <w:r>
        <w:rPr>
          <w:rFonts w:ascii="微軟正黑體" w:eastAsia="微軟正黑體" w:hAnsi="微軟正黑體" w:cs="Calibri" w:hint="eastAsia"/>
          <w:sz w:val="22"/>
          <w:szCs w:val="22"/>
        </w:rPr>
        <w:t>上食道黏膜變薄、發炎、角化不全</w:t>
      </w:r>
      <w:r>
        <w:rPr>
          <w:rFonts w:ascii="微軟正黑體" w:eastAsia="微軟正黑體" w:hAnsi="微軟正黑體" w:cs="Calibri" w:hint="eastAsia"/>
          <w:sz w:val="22"/>
          <w:szCs w:val="22"/>
        </w:rPr>
        <w:t xml:space="preserve"> </w:t>
      </w:r>
      <w:r>
        <w:rPr>
          <w:rFonts w:ascii="微軟正黑體" w:eastAsia="微軟正黑體" w:hAnsi="微軟正黑體" w:cs="Calibri" w:hint="eastAsia"/>
          <w:sz w:val="22"/>
          <w:szCs w:val="22"/>
        </w:rPr>
        <w:t>→</w:t>
      </w:r>
      <w:r>
        <w:rPr>
          <w:rFonts w:ascii="微軟正黑體" w:eastAsia="微軟正黑體" w:hAnsi="微軟正黑體" w:cs="Calibri" w:hint="eastAsia"/>
          <w:sz w:val="22"/>
          <w:szCs w:val="22"/>
        </w:rPr>
        <w:t xml:space="preserve"> </w:t>
      </w:r>
      <w:r>
        <w:rPr>
          <w:rFonts w:ascii="微軟正黑體" w:eastAsia="微軟正黑體" w:hAnsi="微軟正黑體" w:cs="Calibri" w:hint="eastAsia"/>
          <w:sz w:val="22"/>
          <w:szCs w:val="22"/>
        </w:rPr>
        <w:t>形成食道蹼</w:t>
      </w:r>
      <w:r>
        <w:rPr>
          <w:rFonts w:ascii="微軟正黑體" w:eastAsia="微軟正黑體" w:hAnsi="微軟正黑體" w:cs="Calibri" w:hint="eastAsia"/>
          <w:sz w:val="22"/>
          <w:szCs w:val="22"/>
        </w:rPr>
        <w:t xml:space="preserve"> (esophageal web)</w:t>
      </w:r>
    </w:p>
    <w:p w:rsidR="005E55E6" w:rsidRDefault="005E55E6">
      <w:pPr>
        <w:numPr>
          <w:ilvl w:val="4"/>
          <w:numId w:val="2"/>
        </w:numPr>
        <w:spacing w:line="320" w:lineRule="atLeast"/>
        <w:textAlignment w:val="center"/>
        <w:rPr>
          <w:rFonts w:ascii="Calibri" w:hAnsi="Calibri" w:cs="Calibri"/>
          <w:sz w:val="22"/>
          <w:szCs w:val="22"/>
        </w:rPr>
      </w:pPr>
      <w:r>
        <w:rPr>
          <w:rFonts w:ascii="微軟正黑體" w:eastAsia="微軟正黑體" w:hAnsi="微軟正黑體" w:cs="Calibri" w:hint="eastAsia"/>
          <w:sz w:val="22"/>
          <w:szCs w:val="22"/>
        </w:rPr>
        <w:t>Clinical triad</w:t>
      </w:r>
    </w:p>
    <w:p w:rsidR="005E55E6" w:rsidRDefault="005E55E6">
      <w:pPr>
        <w:numPr>
          <w:ilvl w:val="5"/>
          <w:numId w:val="2"/>
        </w:numPr>
        <w:spacing w:line="320" w:lineRule="atLeast"/>
        <w:textAlignment w:val="center"/>
        <w:rPr>
          <w:rFonts w:ascii="Calibri" w:hAnsi="Calibri" w:cs="Calibri"/>
          <w:sz w:val="22"/>
          <w:szCs w:val="22"/>
        </w:rPr>
      </w:pPr>
      <w:r>
        <w:rPr>
          <w:rFonts w:ascii="微軟正黑體" w:eastAsia="微軟正黑體" w:hAnsi="微軟正黑體" w:cs="Calibri" w:hint="eastAsia"/>
          <w:color w:val="C00000"/>
          <w:sz w:val="22"/>
          <w:szCs w:val="22"/>
        </w:rPr>
        <w:t>缺鐵性貧血</w:t>
      </w:r>
    </w:p>
    <w:p w:rsidR="005E55E6" w:rsidRDefault="005E55E6">
      <w:pPr>
        <w:numPr>
          <w:ilvl w:val="5"/>
          <w:numId w:val="2"/>
        </w:numPr>
        <w:spacing w:line="320" w:lineRule="atLeast"/>
        <w:textAlignment w:val="center"/>
        <w:rPr>
          <w:rFonts w:ascii="Calibri" w:hAnsi="Calibri" w:cs="Calibri"/>
          <w:sz w:val="22"/>
          <w:szCs w:val="22"/>
        </w:rPr>
      </w:pPr>
      <w:r>
        <w:rPr>
          <w:rFonts w:ascii="微軟正黑體" w:eastAsia="微軟正黑體" w:hAnsi="微軟正黑體" w:cs="Calibri" w:hint="eastAsia"/>
          <w:color w:val="C00000"/>
          <w:sz w:val="22"/>
          <w:szCs w:val="22"/>
        </w:rPr>
        <w:t>吞嚥困難</w:t>
      </w:r>
    </w:p>
    <w:p w:rsidR="005E55E6" w:rsidRDefault="005E55E6">
      <w:pPr>
        <w:numPr>
          <w:ilvl w:val="5"/>
          <w:numId w:val="2"/>
        </w:numPr>
        <w:spacing w:line="320" w:lineRule="atLeast"/>
        <w:textAlignment w:val="center"/>
        <w:rPr>
          <w:rFonts w:ascii="Calibri" w:hAnsi="Calibri" w:cs="Calibri"/>
          <w:sz w:val="22"/>
          <w:szCs w:val="22"/>
        </w:rPr>
      </w:pPr>
      <w:r>
        <w:rPr>
          <w:rFonts w:ascii="微軟正黑體" w:eastAsia="微軟正黑體" w:hAnsi="微軟正黑體" w:cs="Calibri" w:hint="eastAsia"/>
          <w:color w:val="C00000"/>
          <w:sz w:val="22"/>
          <w:szCs w:val="22"/>
        </w:rPr>
        <w:t>舌炎、口角炎</w:t>
      </w:r>
    </w:p>
    <w:p w:rsidR="005E55E6" w:rsidRDefault="005E55E6">
      <w:pPr>
        <w:numPr>
          <w:ilvl w:val="0"/>
          <w:numId w:val="2"/>
        </w:numPr>
        <w:textAlignment w:val="center"/>
        <w:rPr>
          <w:rFonts w:ascii="Calibri" w:hAnsi="Calibri" w:cs="Calibri"/>
          <w:sz w:val="22"/>
          <w:szCs w:val="22"/>
        </w:rPr>
      </w:pPr>
      <w:r>
        <w:rPr>
          <w:rFonts w:ascii="微軟正黑體" w:eastAsia="微軟正黑體" w:hAnsi="微軟正黑體" w:cs="Calibri" w:hint="eastAsia"/>
          <w:sz w:val="22"/>
          <w:szCs w:val="22"/>
        </w:rPr>
        <w:t xml:space="preserve"> </w:t>
      </w:r>
      <w:r>
        <w:rPr>
          <w:rFonts w:ascii="微軟正黑體" w:eastAsia="微軟正黑體" w:hAnsi="微軟正黑體" w:cs="Calibri" w:hint="eastAsia"/>
          <w:b/>
          <w:bCs/>
          <w:sz w:val="32"/>
          <w:szCs w:val="32"/>
        </w:rPr>
        <w:t>參考資料</w:t>
      </w:r>
    </w:p>
    <w:p w:rsidR="005E55E6" w:rsidRDefault="005E55E6">
      <w:pPr>
        <w:numPr>
          <w:ilvl w:val="1"/>
          <w:numId w:val="2"/>
        </w:numPr>
        <w:spacing w:line="420" w:lineRule="atLeast"/>
        <w:textAlignment w:val="center"/>
        <w:rPr>
          <w:rFonts w:ascii="Calibri" w:hAnsi="Calibri" w:cs="Calibri"/>
          <w:sz w:val="22"/>
          <w:szCs w:val="22"/>
        </w:rPr>
      </w:pPr>
      <w:r>
        <w:rPr>
          <w:rFonts w:ascii="微軟正黑體" w:eastAsia="微軟正黑體" w:hAnsi="微軟正黑體" w:cs="Calibri" w:hint="eastAsia"/>
          <w:sz w:val="28"/>
          <w:szCs w:val="28"/>
        </w:rPr>
        <w:t>Harrison's principles of Internal Medicine</w:t>
      </w:r>
    </w:p>
    <w:p w:rsidR="005E55E6" w:rsidRDefault="005E55E6">
      <w:pPr>
        <w:numPr>
          <w:ilvl w:val="1"/>
          <w:numId w:val="2"/>
        </w:numPr>
        <w:spacing w:line="420" w:lineRule="atLeast"/>
        <w:textAlignment w:val="center"/>
        <w:rPr>
          <w:rFonts w:ascii="Calibri" w:hAnsi="Calibri" w:cs="Calibri"/>
          <w:sz w:val="22"/>
          <w:szCs w:val="22"/>
        </w:rPr>
      </w:pPr>
      <w:r>
        <w:rPr>
          <w:rFonts w:ascii="微軟正黑體" w:eastAsia="微軟正黑體" w:hAnsi="微軟正黑體" w:cs="Calibri" w:hint="eastAsia"/>
          <w:color w:val="212121"/>
          <w:sz w:val="28"/>
          <w:szCs w:val="28"/>
        </w:rPr>
        <w:t xml:space="preserve">Jiang </w:t>
      </w:r>
      <w:r>
        <w:rPr>
          <w:rFonts w:ascii="微軟正黑體" w:eastAsia="微軟正黑體" w:hAnsi="微軟正黑體" w:cs="Calibri" w:hint="eastAsia"/>
          <w:color w:val="212121"/>
          <w:sz w:val="28"/>
          <w:szCs w:val="28"/>
        </w:rPr>
        <w:t>W, Zhang B, Xu J, Xue L, Wang L. Current status and perspectives of esophageal cancer: a comprehensive review. Cancer Commun (Lond). 2025 Mar;45(3):281-331. doi: 10.1002/cac2.12645</w:t>
      </w:r>
    </w:p>
    <w:p w:rsidR="005E55E6" w:rsidRDefault="005E55E6">
      <w:pPr>
        <w:pStyle w:val="Web"/>
        <w:spacing w:before="120" w:beforeAutospacing="0" w:after="120" w:afterAutospacing="0" w:line="300" w:lineRule="atLeast"/>
        <w:rPr>
          <w:rFonts w:ascii="Calibri" w:hAnsi="Calibri" w:cs="Calibri"/>
          <w:sz w:val="22"/>
          <w:szCs w:val="22"/>
        </w:rPr>
      </w:pPr>
      <w:r>
        <w:rPr>
          <w:rFonts w:ascii="Calibri" w:hAnsi="Calibri" w:cs="Calibri"/>
          <w:sz w:val="22"/>
          <w:szCs w:val="22"/>
        </w:rPr>
        <w:t> </w:t>
      </w:r>
    </w:p>
    <w:p w:rsidR="005E55E6" w:rsidRDefault="005E55E6">
      <w:pPr>
        <w:pStyle w:val="Web"/>
        <w:spacing w:before="120" w:beforeAutospacing="0" w:after="120" w:afterAutospacing="0" w:line="300" w:lineRule="atLeast"/>
        <w:rPr>
          <w:rFonts w:cs="Calibri"/>
          <w:sz w:val="22"/>
          <w:szCs w:val="22"/>
        </w:rPr>
      </w:pPr>
      <w:r>
        <w:rPr>
          <w:rFonts w:cs="Calibri" w:hint="eastAsia"/>
          <w:sz w:val="22"/>
          <w:szCs w:val="22"/>
        </w:rPr>
        <w:t> </w:t>
      </w:r>
    </w:p>
    <w:p w:rsidR="005E55E6" w:rsidRDefault="005E55E6">
      <w:pPr>
        <w:pStyle w:val="Web"/>
        <w:spacing w:before="0" w:beforeAutospacing="0" w:after="0" w:afterAutospacing="0"/>
        <w:rPr>
          <w:rFonts w:ascii="Microsoft JhengHei Light" w:eastAsia="Microsoft JhengHei Light" w:hAnsi="Microsoft JhengHei Light" w:cs="Calibri" w:hint="eastAsia"/>
          <w:sz w:val="22"/>
          <w:szCs w:val="22"/>
        </w:rPr>
      </w:pPr>
      <w:r>
        <w:rPr>
          <w:rFonts w:ascii="Calibri" w:eastAsia="Microsoft JhengHei Light" w:hAnsi="Calibri" w:cs="Calibri"/>
          <w:sz w:val="22"/>
          <w:szCs w:val="22"/>
        </w:rPr>
        <w:t> </w:t>
      </w:r>
    </w:p>
    <w:p w:rsidR="005E55E6" w:rsidRDefault="005E55E6">
      <w:pPr>
        <w:pStyle w:val="Web"/>
        <w:spacing w:before="0" w:beforeAutospacing="0" w:after="0" w:afterAutospacing="0"/>
        <w:ind w:left="540"/>
        <w:rPr>
          <w:rFonts w:ascii="Calibri" w:hAnsi="Calibri" w:cs="Calibri" w:hint="eastAsia"/>
          <w:sz w:val="22"/>
          <w:szCs w:val="22"/>
        </w:rPr>
      </w:pPr>
      <w:r>
        <w:rPr>
          <w:rFonts w:ascii="Calibri" w:hAnsi="Calibri" w:cs="Calibri"/>
          <w:sz w:val="22"/>
          <w:szCs w:val="22"/>
        </w:rPr>
        <w:t> </w:t>
      </w:r>
    </w:p>
    <w:sectPr w:rsidR="00000000">
      <w:pgSz w:w="11906" w:h="16838"/>
      <w:pgMar w:top="1440" w:right="1800" w:bottom="1440" w:left="1800" w:header="851" w:footer="992" w:gutter="0"/>
      <w:cols w:space="425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:rsidR="005E55E6" w:rsidRDefault="005E55E6" w:rsidP="005E55E6">
      <w:r>
        <w:separator/>
      </w:r>
    </w:p>
  </w:endnote>
  <w:endnote w:type="continuationSeparator" w:id="0">
    <w:p w:rsidR="005E55E6" w:rsidRDefault="005E55E6" w:rsidP="005E55E6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新細明體">
    <w:altName w:val="PMingLiU"/>
    <w:panose1 w:val="02020500000000000000"/>
    <w:charset w:val="88"/>
    <w:family w:val="roman"/>
    <w:pitch w:val="variable"/>
    <w:sig w:usb0="A00002FF" w:usb1="28CFFCFA" w:usb2="00000016" w:usb3="00000000" w:csb0="00100001" w:csb1="00000000"/>
  </w:font>
  <w:font w:name="微軟正黑體">
    <w:panose1 w:val="020B0604030504040204"/>
    <w:charset w:val="88"/>
    <w:family w:val="swiss"/>
    <w:pitch w:val="variable"/>
    <w:sig w:usb0="000002A7" w:usb1="28CF4400" w:usb2="00000016" w:usb3="00000000" w:csb0="00100009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Microsoft JhengHei Light">
    <w:charset w:val="88"/>
    <w:family w:val="swiss"/>
    <w:pitch w:val="variable"/>
    <w:sig w:usb0="800002A7" w:usb1="28CF4400" w:usb2="00000016" w:usb3="00000000" w:csb0="00100009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:rsidR="005E55E6" w:rsidRDefault="005E55E6" w:rsidP="005E55E6">
      <w:r>
        <w:separator/>
      </w:r>
    </w:p>
  </w:footnote>
  <w:footnote w:type="continuationSeparator" w:id="0">
    <w:p w:rsidR="005E55E6" w:rsidRDefault="005E55E6" w:rsidP="005E55E6"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48A65144"/>
    <w:multiLevelType w:val="multilevel"/>
    <w:tmpl w:val="6478C5A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" w15:restartNumberingAfterBreak="0">
    <w:nsid w:val="6CED11FC"/>
    <w:multiLevelType w:val="multilevel"/>
    <w:tmpl w:val="61CA082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num w:numId="1" w16cid:durableId="70469886">
    <w:abstractNumId w:val="0"/>
  </w:num>
  <w:num w:numId="2" w16cid:durableId="146485548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480"/>
  <w:noPunctuationKerning/>
  <w:characterSpacingControl w:val="doNotCompress"/>
  <w:savePreviewPicture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doNotSnapToGridInCell/>
    <w:doNotWrapTextWithPunct/>
    <w:doNotUseEastAsianBreakRules/>
    <w:growAutofit/>
    <w:useFELayout/>
    <w:compatSetting w:name="compatibilityMode" w:uri="http://schemas.microsoft.com/office/word" w:val="15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5E55E6"/>
    <w:rsid w:val="005E55E6"/>
    <w:rsid w:val="006F620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TW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50"/>
    <o:shapelayout v:ext="edit">
      <o:idmap v:ext="edit" data="2"/>
    </o:shapelayout>
  </w:shapeDefaults>
  <w:decimalSymbol w:val="."/>
  <w:listSeparator w:val=","/>
  <w15:chartTrackingRefBased/>
  <w15:docId w15:val="{42F59853-6835-440B-8E93-0B321ADA48F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Theme="minorEastAsia" w:hAnsi="Times New Roman" w:cs="Times New Roman"/>
        <w:lang w:val="en-US" w:eastAsia="zh-TW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Pr>
      <w:rFonts w:ascii="新細明體" w:eastAsia="新細明體" w:hAnsi="新細明體" w:cs="新細明體"/>
      <w:sz w:val="24"/>
      <w:szCs w:val="24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customStyle="1" w:styleId="msonormal0">
    <w:name w:val="msonormal"/>
    <w:basedOn w:val="a"/>
    <w:pPr>
      <w:spacing w:before="100" w:beforeAutospacing="1" w:after="100" w:afterAutospacing="1"/>
    </w:pPr>
  </w:style>
  <w:style w:type="paragraph" w:styleId="Web">
    <w:name w:val="Normal (Web)"/>
    <w:basedOn w:val="a"/>
    <w:uiPriority w:val="99"/>
    <w:semiHidden/>
    <w:unhideWhenUsed/>
    <w:pPr>
      <w:spacing w:before="100" w:beforeAutospacing="1" w:after="100" w:afterAutospacing="1"/>
    </w:pPr>
  </w:style>
  <w:style w:type="paragraph" w:styleId="a3">
    <w:name w:val="header"/>
    <w:basedOn w:val="a"/>
    <w:link w:val="a4"/>
    <w:uiPriority w:val="99"/>
    <w:unhideWhenUsed/>
    <w:rsid w:val="005E55E6"/>
    <w:pPr>
      <w:tabs>
        <w:tab w:val="center" w:pos="4153"/>
        <w:tab w:val="right" w:pos="8306"/>
      </w:tabs>
      <w:snapToGrid w:val="0"/>
    </w:pPr>
    <w:rPr>
      <w:sz w:val="20"/>
      <w:szCs w:val="20"/>
    </w:rPr>
  </w:style>
  <w:style w:type="character" w:customStyle="1" w:styleId="a4">
    <w:name w:val="頁首 字元"/>
    <w:basedOn w:val="a0"/>
    <w:link w:val="a3"/>
    <w:uiPriority w:val="99"/>
    <w:rsid w:val="005E55E6"/>
    <w:rPr>
      <w:rFonts w:ascii="新細明體" w:eastAsia="新細明體" w:hAnsi="新細明體" w:cs="新細明體"/>
    </w:rPr>
  </w:style>
  <w:style w:type="paragraph" w:styleId="a5">
    <w:name w:val="footer"/>
    <w:basedOn w:val="a"/>
    <w:link w:val="a6"/>
    <w:uiPriority w:val="99"/>
    <w:unhideWhenUsed/>
    <w:rsid w:val="005E55E6"/>
    <w:pPr>
      <w:tabs>
        <w:tab w:val="center" w:pos="4153"/>
        <w:tab w:val="right" w:pos="8306"/>
      </w:tabs>
      <w:snapToGrid w:val="0"/>
    </w:pPr>
    <w:rPr>
      <w:sz w:val="20"/>
      <w:szCs w:val="20"/>
    </w:rPr>
  </w:style>
  <w:style w:type="character" w:customStyle="1" w:styleId="a6">
    <w:name w:val="頁尾 字元"/>
    <w:basedOn w:val="a0"/>
    <w:link w:val="a5"/>
    <w:uiPriority w:val="99"/>
    <w:rsid w:val="005E55E6"/>
    <w:rPr>
      <w:rFonts w:ascii="新細明體" w:eastAsia="新細明體" w:hAnsi="新細明體" w:cs="新細明體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1992101556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encoding w:val="unicode"/>
  <w:optimizeForBrowser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佈景主題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3</Pages>
  <Words>230</Words>
  <Characters>1314</Characters>
  <Application>Microsoft Office Word</Application>
  <DocSecurity>0</DocSecurity>
  <Lines>10</Lines>
  <Paragraphs>3</Paragraphs>
  <ScaleCrop>false</ScaleCrop>
  <Company/>
  <LinksUpToDate>false</LinksUpToDate>
  <CharactersWithSpaces>1541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霓臻 林</dc:creator>
  <cp:keywords/>
  <dc:description/>
  <cp:lastModifiedBy>霓臻 林</cp:lastModifiedBy>
  <cp:revision>2</cp:revision>
  <dcterms:created xsi:type="dcterms:W3CDTF">2025-07-29T02:09:00Z</dcterms:created>
  <dcterms:modified xsi:type="dcterms:W3CDTF">2025-07-29T02:09:00Z</dcterms:modified>
</cp:coreProperties>
</file>