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B92" w:rsidRDefault="00284B9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三心房（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cor triatriatum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284B92" w:rsidRDefault="00284B92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284B92" w:rsidRDefault="00284B9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284B92" w:rsidRDefault="00284B9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被分隔成兩個腔室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非常罕見，佔所有先天性心臟缺陷的約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0.1%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Type 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：沒有合併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Type B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：常合併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一層纖維肌肉性隔膜將左心房劃分為兩個腔室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上腔室接收肺靜脈回流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下腔室則與二尖瓣及左心室連通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通常存在於上腔室與右心房之間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，較罕見的情況是下腔室與右心房之間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三心房症會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導致肺靜脈回流受阻至左心房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。阻力程度取決於以下幾項因素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左心房隔膜膜上開口（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fenestration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）的大小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心房中隔缺損（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）的大小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是否合併其他心臟異常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若上、下腔室之間的交通口徑小於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毫米，患兒通常會在出生第一年內出現症狀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，包括：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心輸出量低下</w:t>
      </w:r>
    </w:p>
    <w:p w:rsidR="00284B92" w:rsidRDefault="00284B9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呼吸系統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呼吸急促、呼吸困難、鼻翼煽動</w:t>
      </w:r>
    </w:p>
    <w:p w:rsidR="00284B92" w:rsidRDefault="00284B9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心血管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心搏過速、四肢冰冷、蒼白或發紺、微血管充填時間延長（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秒）、低血壓偏低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（特別是收縮壓）、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周邊脈搏微弱</w:t>
      </w:r>
    </w:p>
    <w:p w:rsidR="00284B92" w:rsidRDefault="00284B92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尿量減少</w:t>
      </w:r>
    </w:p>
    <w:p w:rsidR="00284B92" w:rsidRDefault="00284B92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lastRenderedPageBreak/>
        <w:t>食慾差、體重不增、哺乳困難</w:t>
      </w:r>
    </w:p>
    <w:p w:rsidR="00284B92" w:rsidRDefault="00284B92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嗜睡、昏迷、反應遲鈍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血氧飽和度降低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肺靜脈高壓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頸靜脈怒張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肝腫大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聽診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肺動脈第二心音（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）亢進（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loud pulmonary S2 sound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右心室搏動感（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right ventricular heave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血壓：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收縮壓低、周邊脈搏微弱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</w:p>
    <w:p w:rsidR="00284B92" w:rsidRDefault="00284B9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284B92" w:rsidRDefault="00284B9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284B92" w:rsidRDefault="00284B9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4575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B92" w:rsidRDefault="00284B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（圖說：三心房症病人的心臟超音波，星號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 xml:space="preserve"> * 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表示左心房的隔膜）</w:t>
      </w:r>
    </w:p>
    <w:p w:rsidR="00284B92" w:rsidRDefault="00284B9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：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Figure 20-22, P.768, Schwartz's Principles of Surgery 11th Edition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）</w:t>
      </w:r>
    </w:p>
    <w:p w:rsidR="00284B92" w:rsidRDefault="00284B92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284B92" w:rsidRDefault="00284B92">
      <w:pPr>
        <w:numPr>
          <w:ilvl w:val="2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超音波結果不明確時才需進行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284B92" w:rsidRDefault="00284B92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284B92" w:rsidRDefault="00284B92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需使用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體外循環（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CPB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）與心臟停跳（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cardioplegic arrest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84B92" w:rsidRDefault="00284B92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經由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右心房切開（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right atriotomy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經由擴大的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進入肺靜脈腔室並切除該膜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，手術後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再以貼片關閉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。</w:t>
      </w:r>
    </w:p>
    <w:p w:rsidR="00284B92" w:rsidRDefault="00284B92">
      <w:pPr>
        <w:numPr>
          <w:ilvl w:val="3"/>
          <w:numId w:val="4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切除時需小心避免傷及二尖瓣與心房中隔</w:t>
      </w:r>
    </w:p>
    <w:p w:rsidR="00284B92" w:rsidRDefault="00284B92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若右心房體積較小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，則可改為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直接切開左心房上腔（於右肺靜脈前方）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，以切除隔膜</w:t>
      </w:r>
    </w:p>
    <w:p w:rsidR="00284B92" w:rsidRDefault="00284B92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手術預後極佳，存活率接近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100%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284B92" w:rsidRDefault="00284B92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284B92" w:rsidRDefault="00284B92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心衰竭</w:t>
      </w:r>
    </w:p>
    <w:p w:rsidR="00284B92" w:rsidRDefault="00284B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284B92" w:rsidRDefault="00284B9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284B92" w:rsidRDefault="00284B9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284B92" w:rsidRDefault="00284B9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4B92" w:rsidRDefault="00284B92" w:rsidP="00284B92">
      <w:r>
        <w:separator/>
      </w:r>
    </w:p>
  </w:endnote>
  <w:endnote w:type="continuationSeparator" w:id="0">
    <w:p w:rsidR="00284B92" w:rsidRDefault="00284B92" w:rsidP="00284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4B92" w:rsidRDefault="00284B92" w:rsidP="00284B92">
      <w:r>
        <w:separator/>
      </w:r>
    </w:p>
  </w:footnote>
  <w:footnote w:type="continuationSeparator" w:id="0">
    <w:p w:rsidR="00284B92" w:rsidRDefault="00284B92" w:rsidP="00284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02F32"/>
    <w:multiLevelType w:val="multilevel"/>
    <w:tmpl w:val="AD8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462066">
    <w:abstractNumId w:val="0"/>
  </w:num>
  <w:num w:numId="2" w16cid:durableId="19628814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844550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208282538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211808986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92"/>
    <w:rsid w:val="00284B92"/>
    <w:rsid w:val="00E2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2969B51-B41C-48DB-9EA1-77C87413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84B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4B9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84B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84B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