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29C9" w:rsidRDefault="00A029C9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  <w:lang w:val="en-GB"/>
        </w:rPr>
        <w:t>其</w:t>
      </w:r>
      <w:r>
        <w:rPr>
          <w:rFonts w:ascii="微軟正黑體" w:eastAsia="微軟正黑體" w:hAnsi="微軟正黑體" w:cs="Calibri" w:hint="eastAsia"/>
          <w:sz w:val="40"/>
          <w:szCs w:val="40"/>
        </w:rPr>
        <w:t>他靜脈性疾病</w:t>
      </w:r>
    </w:p>
    <w:p w:rsidR="00A029C9" w:rsidRDefault="00A029C9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A029C9" w:rsidRDefault="00A029C9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12:00</w:t>
      </w:r>
    </w:p>
    <w:p w:rsidR="00A029C9" w:rsidRDefault="00A029C9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表淺靜脈血栓性靜脈炎（</w:t>
      </w:r>
      <w:r>
        <w:rPr>
          <w:rFonts w:ascii="Calibri" w:hAnsi="Calibri" w:cs="Calibri"/>
          <w:color w:val="1E4E79"/>
          <w:sz w:val="32"/>
          <w:szCs w:val="32"/>
        </w:rPr>
        <w:t>Superficial Vein Thrombophlebitis, SVT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A029C9" w:rsidRDefault="00A029C9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定義</w:t>
      </w:r>
    </w:p>
    <w:p w:rsidR="00A029C9" w:rsidRDefault="00A029C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表淺靜脈的發炎及血栓形成，最常影響下肢表淺靜脈</w:t>
      </w:r>
    </w:p>
    <w:p w:rsidR="00A029C9" w:rsidRDefault="00A029C9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</w:t>
      </w:r>
    </w:p>
    <w:p w:rsidR="00A029C9" w:rsidRDefault="00A029C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5–40% </w:t>
      </w:r>
      <w:r>
        <w:rPr>
          <w:rFonts w:ascii="微軟正黑體" w:eastAsia="微軟正黑體" w:hAnsi="微軟正黑體" w:cs="Calibri" w:hint="eastAsia"/>
          <w:sz w:val="22"/>
          <w:szCs w:val="22"/>
        </w:rPr>
        <w:t>的</w:t>
      </w:r>
      <w:r>
        <w:rPr>
          <w:rFonts w:ascii="Calibri" w:hAnsi="Calibri" w:cs="Calibri"/>
          <w:sz w:val="22"/>
          <w:szCs w:val="22"/>
        </w:rPr>
        <w:t xml:space="preserve"> SVT 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患者合併</w:t>
      </w:r>
      <w:r>
        <w:rPr>
          <w:rFonts w:ascii="Calibri" w:hAnsi="Calibri" w:cs="Calibri"/>
          <w:sz w:val="22"/>
          <w:szCs w:val="22"/>
        </w:rPr>
        <w:t xml:space="preserve"> DVT</w:t>
      </w:r>
    </w:p>
    <w:p w:rsidR="00A029C9" w:rsidRDefault="00A029C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25% </w:t>
      </w:r>
      <w:r>
        <w:rPr>
          <w:rFonts w:ascii="微軟正黑體" w:eastAsia="微軟正黑體" w:hAnsi="微軟正黑體" w:cs="Calibri" w:hint="eastAsia"/>
          <w:sz w:val="22"/>
          <w:szCs w:val="22"/>
        </w:rPr>
        <w:t>的患者合併</w:t>
      </w:r>
      <w:r>
        <w:rPr>
          <w:rFonts w:ascii="Calibri" w:hAnsi="Calibri" w:cs="Calibri"/>
          <w:sz w:val="22"/>
          <w:szCs w:val="22"/>
        </w:rPr>
        <w:t xml:space="preserve"> DVT </w:t>
      </w:r>
      <w:r>
        <w:rPr>
          <w:rFonts w:ascii="微軟正黑體" w:eastAsia="微軟正黑體" w:hAnsi="微軟正黑體" w:cs="Calibri" w:hint="eastAsia"/>
          <w:sz w:val="22"/>
          <w:szCs w:val="22"/>
        </w:rPr>
        <w:t>或肺栓塞</w:t>
      </w:r>
    </w:p>
    <w:p w:rsidR="00A029C9" w:rsidRDefault="00A029C9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分類</w:t>
      </w:r>
    </w:p>
    <w:p w:rsidR="00A029C9" w:rsidRDefault="00A029C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遷移性血栓性靜脈炎</w:t>
      </w:r>
      <w:r>
        <w:rPr>
          <w:rFonts w:ascii="Calibri" w:hAnsi="Calibri" w:cs="Calibri"/>
          <w:b/>
          <w:bCs/>
          <w:sz w:val="22"/>
          <w:szCs w:val="22"/>
        </w:rPr>
        <w:t xml:space="preserve"> thrombophlebitis migrans</w:t>
      </w:r>
    </w:p>
    <w:p w:rsidR="00A029C9" w:rsidRDefault="00A029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SVT </w:t>
      </w: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正常表淺靜脈</w:t>
      </w:r>
      <w:r>
        <w:rPr>
          <w:rFonts w:ascii="微軟正黑體" w:eastAsia="微軟正黑體" w:hAnsi="微軟正黑體" w:cs="Calibri" w:hint="eastAsia"/>
          <w:sz w:val="22"/>
          <w:szCs w:val="22"/>
        </w:rPr>
        <w:t>（沒有靜脈曲張）中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反覆發作</w:t>
      </w:r>
    </w:p>
    <w:p w:rsidR="00A029C9" w:rsidRDefault="00A029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惡性腫瘤、血液、結締組織疾病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有關</w:t>
      </w:r>
    </w:p>
    <w:p w:rsidR="00A029C9" w:rsidRDefault="00A029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Trousseau sign</w:t>
      </w:r>
      <w:r>
        <w:rPr>
          <w:rFonts w:ascii="微軟正黑體" w:eastAsia="微軟正黑體" w:hAnsi="微軟正黑體" w:cs="Calibri" w:hint="eastAsia"/>
          <w:sz w:val="22"/>
          <w:szCs w:val="22"/>
        </w:rPr>
        <w:t>：與惡性腫瘤，特別是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胰尾癌</w:t>
      </w:r>
      <w:r>
        <w:rPr>
          <w:rFonts w:ascii="微軟正黑體" w:eastAsia="微軟正黑體" w:hAnsi="微軟正黑體" w:cs="Calibri" w:hint="eastAsia"/>
          <w:sz w:val="22"/>
          <w:szCs w:val="22"/>
        </w:rPr>
        <w:t>相關</w:t>
      </w:r>
    </w:p>
    <w:p w:rsidR="00A029C9" w:rsidRDefault="00A029C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Mondor disease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乳房</w:t>
      </w:r>
      <w:r>
        <w:rPr>
          <w:rFonts w:ascii="微軟正黑體" w:eastAsia="微軟正黑體" w:hAnsi="微軟正黑體" w:cs="Calibri" w:hint="eastAsia"/>
          <w:sz w:val="22"/>
          <w:szCs w:val="22"/>
        </w:rPr>
        <w:t>的血栓性靜脈炎</w:t>
      </w:r>
    </w:p>
    <w:p w:rsidR="00A029C9" w:rsidRDefault="00A029C9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危險因子</w:t>
      </w:r>
    </w:p>
    <w:p w:rsidR="00A029C9" w:rsidRDefault="00A029C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靜脈曲張</w:t>
      </w:r>
      <w:r>
        <w:rPr>
          <w:rFonts w:ascii="微軟正黑體" w:eastAsia="微軟正黑體" w:hAnsi="微軟正黑體" w:cs="Calibri" w:hint="eastAsia"/>
          <w:sz w:val="22"/>
          <w:szCs w:val="22"/>
        </w:rPr>
        <w:t>：最常發生於靜脈曲張的部位，但也可能出現在正常靜脈中</w:t>
      </w:r>
    </w:p>
    <w:p w:rsidR="00A029C9" w:rsidRDefault="00A029C9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惡性腫瘤</w:t>
      </w:r>
    </w:p>
    <w:p w:rsidR="00A029C9" w:rsidRDefault="00A029C9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血液、結締組織疾病</w:t>
      </w:r>
    </w:p>
    <w:p w:rsidR="00A029C9" w:rsidRDefault="00A029C9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靜脈導管置放、藥物注射時造成外滲</w:t>
      </w:r>
    </w:p>
    <w:p w:rsidR="00A029C9" w:rsidRDefault="00A029C9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住院病患中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SVT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最常見原因</w:t>
      </w:r>
    </w:p>
    <w:p w:rsidR="00A029C9" w:rsidRDefault="00A029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周邊中心靜脈導管（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PICC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的患者中，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上肢靜脈血栓發生率高達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38%</w:t>
      </w:r>
    </w:p>
    <w:p w:rsidR="00A029C9" w:rsidRDefault="00A029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頭靜脈（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cephalic vein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57%</w:t>
      </w:r>
    </w:p>
    <w:p w:rsidR="00A029C9" w:rsidRDefault="00A029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化膿性</w:t>
      </w:r>
      <w:r>
        <w:rPr>
          <w:rFonts w:ascii="Calibri" w:hAnsi="Calibri" w:cs="Calibri"/>
          <w:b/>
          <w:bCs/>
          <w:sz w:val="22"/>
          <w:szCs w:val="22"/>
        </w:rPr>
        <w:t xml:space="preserve"> SVT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suppurative SVT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：導管感染，可進展至敗血症</w:t>
      </w:r>
    </w:p>
    <w:p w:rsidR="00A029C9" w:rsidRDefault="00A029C9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Behçet disease</w:t>
      </w:r>
    </w:p>
    <w:p w:rsidR="00A029C9" w:rsidRDefault="00A029C9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血栓閉塞性脈管炎（</w:t>
      </w:r>
      <w:r>
        <w:rPr>
          <w:rFonts w:ascii="Calibri" w:hAnsi="Calibri" w:cs="Calibri"/>
          <w:color w:val="C00000"/>
          <w:sz w:val="22"/>
          <w:szCs w:val="22"/>
        </w:rPr>
        <w:t>Thromboangiitis obliterans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A029C9" w:rsidRDefault="00A029C9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臨床表現</w:t>
      </w:r>
    </w:p>
    <w:p w:rsidR="00A029C9" w:rsidRDefault="00A029C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局部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紅腫熱痛</w:t>
      </w:r>
    </w:p>
    <w:p w:rsidR="00A029C9" w:rsidRDefault="00A029C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皮膚紅腫硬化</w:t>
      </w:r>
    </w:p>
    <w:p w:rsidR="00A029C9" w:rsidRDefault="00A029C9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條索狀血管（</w:t>
      </w:r>
      <w:r>
        <w:rPr>
          <w:rFonts w:ascii="Calibri" w:hAnsi="Calibri" w:cs="Calibri"/>
          <w:color w:val="C00000"/>
          <w:sz w:val="22"/>
          <w:szCs w:val="22"/>
        </w:rPr>
        <w:t>palpable cord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A029C9" w:rsidRDefault="00A029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表淺靜脈路徑出現紅斑、壓痛與腫脹的線狀病灶</w:t>
      </w:r>
    </w:p>
    <w:p w:rsidR="00A029C9" w:rsidRDefault="00A029C9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lastRenderedPageBreak/>
        <w:t>隨時間靜脈會形成可觸及的纖維化條索</w:t>
      </w:r>
    </w:p>
    <w:p w:rsidR="00A029C9" w:rsidRDefault="00A029C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25% </w:t>
      </w:r>
      <w:r>
        <w:rPr>
          <w:rFonts w:ascii="微軟正黑體" w:eastAsia="微軟正黑體" w:hAnsi="微軟正黑體" w:cs="Calibri" w:hint="eastAsia"/>
          <w:sz w:val="22"/>
          <w:szCs w:val="22"/>
        </w:rPr>
        <w:t>的患者合併</w:t>
      </w:r>
      <w:r>
        <w:rPr>
          <w:rFonts w:ascii="Calibri" w:hAnsi="Calibri" w:cs="Calibri"/>
          <w:sz w:val="22"/>
          <w:szCs w:val="22"/>
        </w:rPr>
        <w:t xml:space="preserve"> DVT </w:t>
      </w:r>
      <w:r>
        <w:rPr>
          <w:rFonts w:ascii="微軟正黑體" w:eastAsia="微軟正黑體" w:hAnsi="微軟正黑體" w:cs="Calibri" w:hint="eastAsia"/>
          <w:sz w:val="22"/>
          <w:szCs w:val="22"/>
        </w:rPr>
        <w:t>或肺栓塞</w:t>
      </w:r>
    </w:p>
    <w:p w:rsidR="00A029C9" w:rsidRDefault="00A029C9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診斷</w:t>
      </w:r>
    </w:p>
    <w:p w:rsidR="00A029C9" w:rsidRDefault="00A029C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臨床診斷為主</w:t>
      </w:r>
    </w:p>
    <w:p w:rsidR="00A029C9" w:rsidRDefault="00A029C9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壓迫式超音波</w:t>
      </w:r>
    </w:p>
    <w:p w:rsidR="00A029C9" w:rsidRDefault="00A029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懷疑有</w:t>
      </w:r>
      <w:r>
        <w:rPr>
          <w:rFonts w:ascii="Calibri" w:hAnsi="Calibri" w:cs="Calibri"/>
          <w:sz w:val="22"/>
          <w:szCs w:val="22"/>
        </w:rPr>
        <w:t xml:space="preserve"> DVT </w:t>
      </w:r>
      <w:r>
        <w:rPr>
          <w:rFonts w:ascii="微軟正黑體" w:eastAsia="微軟正黑體" w:hAnsi="微軟正黑體" w:cs="Calibri" w:hint="eastAsia"/>
          <w:sz w:val="22"/>
          <w:szCs w:val="22"/>
        </w:rPr>
        <w:t>或臨床表現不明確</w:t>
      </w:r>
    </w:p>
    <w:p w:rsidR="00A029C9" w:rsidRDefault="00A029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觀察是否有表淺靜脈變厚、水腫、無法壓扁、有無腔內血栓、是否延伸到深層靜脈</w:t>
      </w:r>
    </w:p>
    <w:p w:rsidR="00A029C9" w:rsidRDefault="00A029C9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若沒有侵犯到深層靜脈侵犯，但有近端大隱靜脈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SVT</w:t>
      </w:r>
    </w:p>
    <w:p w:rsidR="00A029C9" w:rsidRDefault="00A029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建議</w:t>
      </w:r>
      <w:r>
        <w:rPr>
          <w:rFonts w:ascii="Calibri" w:hAnsi="Calibri" w:cs="Calibri"/>
          <w:color w:val="C00000"/>
          <w:sz w:val="22"/>
          <w:szCs w:val="22"/>
        </w:rPr>
        <w:t>5–7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天後再次追蹤</w:t>
      </w:r>
      <w:r>
        <w:rPr>
          <w:rFonts w:ascii="微軟正黑體" w:eastAsia="微軟正黑體" w:hAnsi="微軟正黑體" w:cs="Calibri" w:hint="eastAsia"/>
          <w:sz w:val="22"/>
          <w:szCs w:val="22"/>
        </w:rPr>
        <w:t>，因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10–20%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可能於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週內進展成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DVT</w:t>
      </w:r>
    </w:p>
    <w:p w:rsidR="00A029C9" w:rsidRDefault="00A029C9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治療</w:t>
      </w:r>
    </w:p>
    <w:p w:rsidR="00A029C9" w:rsidRDefault="00A029C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保守治療</w:t>
      </w:r>
    </w:p>
    <w:p w:rsidR="00A029C9" w:rsidRDefault="00A029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70AD47"/>
          <w:sz w:val="22"/>
          <w:szCs w:val="22"/>
        </w:rPr>
        <w:t>NSAIDs</w:t>
      </w:r>
      <w:r>
        <w:rPr>
          <w:rFonts w:ascii="微軟正黑體" w:eastAsia="微軟正黑體" w:hAnsi="微軟正黑體" w:cs="Calibri" w:hint="eastAsia"/>
          <w:sz w:val="22"/>
          <w:szCs w:val="22"/>
        </w:rPr>
        <w:t>：止痛，也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可降低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SVT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惡化或復發的風險</w:t>
      </w:r>
    </w:p>
    <w:p w:rsidR="00A029C9" w:rsidRDefault="00A029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局部抗發炎藥膏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70AD47"/>
          <w:sz w:val="22"/>
          <w:szCs w:val="22"/>
        </w:rPr>
        <w:t>Indomethacin</w:t>
      </w:r>
    </w:p>
    <w:p w:rsidR="00A029C9" w:rsidRDefault="00A029C9">
      <w:pPr>
        <w:numPr>
          <w:ilvl w:val="2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穿彈性壓力襪</w:t>
      </w:r>
    </w:p>
    <w:p w:rsidR="00A029C9" w:rsidRDefault="00A029C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藥物治療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：抗凝血治療</w:t>
      </w:r>
    </w:p>
    <w:p w:rsidR="00A029C9" w:rsidRDefault="00A029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治療時間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持續</w:t>
      </w:r>
      <w:r>
        <w:rPr>
          <w:rFonts w:ascii="Calibri" w:hAnsi="Calibri" w:cs="Calibri"/>
          <w:color w:val="C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週</w:t>
      </w:r>
    </w:p>
    <w:p w:rsidR="00A029C9" w:rsidRDefault="00A029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A029C9" w:rsidRDefault="00A029C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血栓長度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≥ 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公分</w:t>
      </w:r>
    </w:p>
    <w:p w:rsidR="00A029C9" w:rsidRDefault="00A029C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位置靠近深層靜脈</w:t>
      </w:r>
    </w:p>
    <w:p w:rsidR="00A029C9" w:rsidRDefault="00A029C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DVT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高風險</w:t>
      </w:r>
    </w:p>
    <w:p w:rsidR="00A029C9" w:rsidRDefault="00A029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藥物</w:t>
      </w:r>
    </w:p>
    <w:p w:rsidR="00A029C9" w:rsidRDefault="00A029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70AD47"/>
          <w:sz w:val="22"/>
          <w:szCs w:val="22"/>
        </w:rPr>
        <w:t>Rivaroxaban</w:t>
      </w:r>
      <w:r>
        <w:rPr>
          <w:rFonts w:ascii="微軟正黑體" w:eastAsia="微軟正黑體" w:hAnsi="微軟正黑體" w:cs="Calibri" w:hint="eastAsia"/>
          <w:sz w:val="22"/>
          <w:szCs w:val="22"/>
        </w:rPr>
        <w:t>：口服</w:t>
      </w:r>
      <w:r>
        <w:rPr>
          <w:rFonts w:ascii="Calibri" w:hAnsi="Calibri" w:cs="Calibri"/>
          <w:sz w:val="22"/>
          <w:szCs w:val="22"/>
        </w:rPr>
        <w:t xml:space="preserve"> Xa inhibitor</w:t>
      </w:r>
    </w:p>
    <w:p w:rsidR="00A029C9" w:rsidRDefault="00A029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70AD47"/>
          <w:sz w:val="22"/>
          <w:szCs w:val="22"/>
        </w:rPr>
        <w:t>Fondaparinux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：可降低靜脈栓塞的發生率（達</w:t>
      </w:r>
      <w:r>
        <w:rPr>
          <w:rFonts w:ascii="Calibri" w:hAnsi="Calibri" w:cs="Calibri"/>
          <w:sz w:val="22"/>
          <w:szCs w:val="22"/>
        </w:rPr>
        <w:t>85%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A029C9" w:rsidRDefault="00A029C9">
      <w:pPr>
        <w:numPr>
          <w:ilvl w:val="3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Calibri" w:hAnsi="Calibri" w:cs="Calibri"/>
          <w:color w:val="70AD47"/>
          <w:sz w:val="22"/>
          <w:szCs w:val="22"/>
        </w:rPr>
        <w:t>Low-molecular weight heparin, LMWH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：</w:t>
      </w:r>
      <w:r>
        <w:rPr>
          <w:rFonts w:ascii="Calibri" w:hAnsi="Calibri" w:cs="Calibri"/>
          <w:color w:val="70AD47"/>
          <w:sz w:val="22"/>
          <w:szCs w:val="22"/>
        </w:rPr>
        <w:t>Enoxaparin</w:t>
      </w:r>
    </w:p>
    <w:p w:rsidR="00A029C9" w:rsidRDefault="00A029C9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懷孕首選</w:t>
      </w:r>
    </w:p>
    <w:p w:rsidR="00A029C9" w:rsidRDefault="00A029C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特殊族群</w:t>
      </w:r>
    </w:p>
    <w:p w:rsidR="00A029C9" w:rsidRDefault="00A029C9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SVT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延伸至股隱交界（</w:t>
      </w:r>
      <w:r>
        <w:rPr>
          <w:rFonts w:ascii="Calibri" w:hAnsi="Calibri" w:cs="Calibri"/>
          <w:color w:val="C00000"/>
          <w:sz w:val="22"/>
          <w:szCs w:val="22"/>
        </w:rPr>
        <w:t>saphenofemoral junction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Calibri" w:hAnsi="Calibri" w:cs="Calibri"/>
          <w:color w:val="C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公分內</w:t>
      </w:r>
    </w:p>
    <w:p w:rsidR="00A029C9" w:rsidRDefault="00A029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抗凝血治療</w:t>
      </w:r>
      <w:r>
        <w:rPr>
          <w:rFonts w:ascii="Calibri" w:hAnsi="Calibri" w:cs="Calibri"/>
          <w:color w:val="70AD47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週</w:t>
      </w:r>
      <w:r>
        <w:rPr>
          <w:rFonts w:ascii="微軟正黑體" w:eastAsia="微軟正黑體" w:hAnsi="微軟正黑體" w:cs="Calibri" w:hint="eastAsia"/>
          <w:sz w:val="22"/>
          <w:szCs w:val="22"/>
        </w:rPr>
        <w:t>，或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結紮大隱靜脈</w:t>
      </w:r>
    </w:p>
    <w:p w:rsidR="00A029C9" w:rsidRDefault="00A029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化膿性</w:t>
      </w:r>
      <w:r>
        <w:rPr>
          <w:rFonts w:ascii="Calibri" w:hAnsi="Calibri" w:cs="Calibri"/>
          <w:color w:val="C00000"/>
          <w:sz w:val="22"/>
          <w:szCs w:val="22"/>
        </w:rPr>
        <w:t xml:space="preserve"> SVT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抗生素、移除導管</w:t>
      </w:r>
    </w:p>
    <w:p w:rsidR="00A029C9" w:rsidRDefault="00A029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症狀嚴重時可考慮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整段靜脈切除術</w:t>
      </w:r>
    </w:p>
    <w:p w:rsidR="00A029C9" w:rsidRDefault="00A029C9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併發症</w:t>
      </w:r>
    </w:p>
    <w:p w:rsidR="00A029C9" w:rsidRDefault="00A029C9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深部靜脈栓塞</w:t>
      </w:r>
    </w:p>
    <w:p w:rsidR="00A029C9" w:rsidRDefault="00A029C9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肺栓塞</w:t>
      </w:r>
    </w:p>
    <w:p w:rsidR="00A029C9" w:rsidRDefault="00A029C9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感染：敗血性表淺血栓性靜脈炎（</w:t>
      </w:r>
      <w:r>
        <w:rPr>
          <w:rFonts w:ascii="Calibri" w:hAnsi="Calibri" w:cs="Calibri"/>
          <w:sz w:val="22"/>
          <w:szCs w:val="22"/>
        </w:rPr>
        <w:t>septic thrombophlebitis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A029C9" w:rsidRDefault="00A029C9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A029C9" w:rsidRDefault="00A029C9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腸系膜靜脈栓塞（</w:t>
      </w:r>
      <w:r>
        <w:rPr>
          <w:rFonts w:ascii="Calibri" w:hAnsi="Calibri" w:cs="Calibri"/>
          <w:color w:val="1E4E79"/>
          <w:sz w:val="32"/>
          <w:szCs w:val="32"/>
        </w:rPr>
        <w:t>Mesenteric Vein Thrombosis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A029C9" w:rsidRDefault="00A029C9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</w:t>
      </w:r>
    </w:p>
    <w:p w:rsidR="00A029C9" w:rsidRDefault="00A029C9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佔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急性腸繫膜缺血（</w:t>
      </w:r>
      <w:r>
        <w:rPr>
          <w:rFonts w:ascii="Calibri" w:hAnsi="Calibri" w:cs="Calibri"/>
          <w:color w:val="C00000"/>
          <w:sz w:val="22"/>
          <w:szCs w:val="22"/>
        </w:rPr>
        <w:t>acute mesenteric ischemia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）的</w:t>
      </w:r>
      <w:r>
        <w:rPr>
          <w:rFonts w:ascii="Calibri" w:hAnsi="Calibri" w:cs="Calibri"/>
          <w:color w:val="C00000"/>
          <w:sz w:val="22"/>
          <w:szCs w:val="22"/>
        </w:rPr>
        <w:t xml:space="preserve"> 5–15%</w:t>
      </w:r>
    </w:p>
    <w:p w:rsidR="00A029C9" w:rsidRDefault="00A029C9">
      <w:pPr>
        <w:numPr>
          <w:ilvl w:val="1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死亡率可達</w:t>
      </w:r>
      <w:r>
        <w:rPr>
          <w:rFonts w:ascii="Calibri" w:hAnsi="Calibri" w:cs="Calibri"/>
          <w:color w:val="C00000"/>
          <w:sz w:val="22"/>
          <w:szCs w:val="22"/>
        </w:rPr>
        <w:t xml:space="preserve"> 50%</w:t>
      </w:r>
    </w:p>
    <w:p w:rsidR="00A029C9" w:rsidRDefault="00A029C9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病因</w:t>
      </w:r>
      <w:r>
        <w:rPr>
          <w:rFonts w:ascii="Calibri" w:hAnsi="Calibri" w:cs="Calibri"/>
          <w:color w:val="2E75B5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危險因子</w:t>
      </w:r>
    </w:p>
    <w:p w:rsidR="00A029C9" w:rsidRDefault="00A029C9">
      <w:pPr>
        <w:numPr>
          <w:ilvl w:val="1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高凝血狀態（</w:t>
      </w:r>
      <w:r>
        <w:rPr>
          <w:rFonts w:ascii="Calibri" w:hAnsi="Calibri" w:cs="Calibri"/>
          <w:color w:val="C00000"/>
          <w:sz w:val="22"/>
          <w:szCs w:val="22"/>
        </w:rPr>
        <w:t>hypercoagulable state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A029C9" w:rsidRDefault="00A029C9">
      <w:pPr>
        <w:numPr>
          <w:ilvl w:val="1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惡性腫瘤</w:t>
      </w:r>
    </w:p>
    <w:p w:rsidR="00A029C9" w:rsidRDefault="00A029C9">
      <w:pPr>
        <w:numPr>
          <w:ilvl w:val="1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門脈高壓（</w:t>
      </w:r>
      <w:r>
        <w:rPr>
          <w:rFonts w:ascii="Calibri" w:hAnsi="Calibri" w:cs="Calibri"/>
          <w:color w:val="C00000"/>
          <w:sz w:val="22"/>
          <w:szCs w:val="22"/>
        </w:rPr>
        <w:t>Portal hypertension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）、肝硬化</w:t>
      </w:r>
    </w:p>
    <w:p w:rsidR="00A029C9" w:rsidRDefault="00A029C9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雌激素治療（</w:t>
      </w:r>
      <w:r>
        <w:rPr>
          <w:rFonts w:ascii="Calibri" w:hAnsi="Calibri" w:cs="Calibri"/>
          <w:color w:val="C00000"/>
          <w:sz w:val="22"/>
          <w:szCs w:val="22"/>
        </w:rPr>
        <w:t>Estrogen therapy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口服避孕藥、荷爾蒙替代療法</w:t>
      </w:r>
    </w:p>
    <w:p w:rsidR="00A029C9" w:rsidRDefault="00A029C9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腹腔鏡手術後的罕見併發症</w:t>
      </w:r>
    </w:p>
    <w:p w:rsidR="00A029C9" w:rsidRDefault="00A029C9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臨床表現</w:t>
      </w:r>
    </w:p>
    <w:p w:rsidR="00A029C9" w:rsidRDefault="00A029C9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腹痛與腹脹：最常見</w:t>
      </w:r>
    </w:p>
    <w:p w:rsidR="00A029C9" w:rsidRDefault="00A029C9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噁心、嘔吐、腹瀉</w:t>
      </w:r>
    </w:p>
    <w:p w:rsidR="00A029C9" w:rsidRDefault="00A029C9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Peritoneal signs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少於一半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的病人，若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陽性可能已進展至腸梗塞、壞死</w:t>
      </w:r>
    </w:p>
    <w:p w:rsidR="00A029C9" w:rsidRDefault="00A029C9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診斷</w:t>
      </w:r>
    </w:p>
    <w:p w:rsidR="00A029C9" w:rsidRDefault="00A029C9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電腦斷層（</w:t>
      </w:r>
      <w:r>
        <w:rPr>
          <w:rFonts w:ascii="Calibri" w:hAnsi="Calibri" w:cs="Calibri"/>
          <w:b/>
          <w:bCs/>
          <w:sz w:val="22"/>
          <w:szCs w:val="22"/>
        </w:rPr>
        <w:t>Contrast CT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）、核磁共振（</w:t>
      </w:r>
      <w:r>
        <w:rPr>
          <w:rFonts w:ascii="Calibri" w:hAnsi="Calibri" w:cs="Calibri"/>
          <w:b/>
          <w:bCs/>
          <w:sz w:val="22"/>
          <w:szCs w:val="22"/>
        </w:rPr>
        <w:t>MRI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A029C9" w:rsidRDefault="00A029C9">
      <w:pPr>
        <w:numPr>
          <w:ilvl w:val="2"/>
          <w:numId w:val="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敏感度：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100%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；特異度：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98%</w:t>
      </w:r>
    </w:p>
    <w:p w:rsidR="00A029C9" w:rsidRDefault="00A029C9">
      <w:pPr>
        <w:numPr>
          <w:ilvl w:val="2"/>
          <w:numId w:val="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MRI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的準確率跟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CT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差不多</w:t>
      </w:r>
    </w:p>
    <w:p w:rsidR="00A029C9" w:rsidRDefault="00A029C9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超音波（</w:t>
      </w:r>
      <w:r>
        <w:rPr>
          <w:rFonts w:ascii="Calibri" w:hAnsi="Calibri" w:cs="Calibri"/>
          <w:b/>
          <w:bCs/>
          <w:sz w:val="22"/>
          <w:szCs w:val="22"/>
        </w:rPr>
        <w:t>Ultrasound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：輔助工具</w:t>
      </w:r>
    </w:p>
    <w:p w:rsidR="00A029C9" w:rsidRDefault="00A029C9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敏感度：</w:t>
      </w:r>
      <w:r>
        <w:rPr>
          <w:rFonts w:ascii="Calibri" w:hAnsi="Calibri" w:cs="Calibri"/>
          <w:sz w:val="22"/>
          <w:szCs w:val="22"/>
        </w:rPr>
        <w:t>93%</w:t>
      </w:r>
      <w:r>
        <w:rPr>
          <w:rFonts w:ascii="微軟正黑體" w:eastAsia="微軟正黑體" w:hAnsi="微軟正黑體" w:cs="Calibri" w:hint="eastAsia"/>
          <w:sz w:val="22"/>
          <w:szCs w:val="22"/>
        </w:rPr>
        <w:t>；特異度：</w:t>
      </w:r>
      <w:r>
        <w:rPr>
          <w:rFonts w:ascii="Calibri" w:hAnsi="Calibri" w:cs="Calibri"/>
          <w:sz w:val="22"/>
          <w:szCs w:val="22"/>
        </w:rPr>
        <w:t>99%</w:t>
      </w:r>
    </w:p>
    <w:p w:rsidR="00A029C9" w:rsidRDefault="00A029C9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治療</w:t>
      </w:r>
    </w:p>
    <w:p w:rsidR="00A029C9" w:rsidRDefault="00A029C9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初始處置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A029C9" w:rsidRDefault="00A029C9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給水（</w:t>
      </w:r>
      <w:r>
        <w:rPr>
          <w:rFonts w:ascii="Calibri" w:hAnsi="Calibri" w:cs="Calibri"/>
          <w:sz w:val="22"/>
          <w:szCs w:val="22"/>
        </w:rPr>
        <w:t>fluid resuscitation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A029C9" w:rsidRDefault="00A029C9">
      <w:pPr>
        <w:numPr>
          <w:ilvl w:val="2"/>
          <w:numId w:val="3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Calibri" w:hAnsi="Calibri" w:cs="Calibri"/>
          <w:color w:val="70AD47"/>
          <w:sz w:val="22"/>
          <w:szCs w:val="22"/>
        </w:rPr>
        <w:t xml:space="preserve">IV 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注射</w:t>
      </w:r>
      <w:r>
        <w:rPr>
          <w:rFonts w:ascii="Calibri" w:hAnsi="Calibri" w:cs="Calibri"/>
          <w:color w:val="70AD47"/>
          <w:sz w:val="22"/>
          <w:szCs w:val="22"/>
        </w:rPr>
        <w:t xml:space="preserve"> Heparin </w:t>
      </w:r>
    </w:p>
    <w:p w:rsidR="00A029C9" w:rsidRDefault="00A029C9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bowel rest</w:t>
      </w:r>
    </w:p>
    <w:p w:rsidR="00A029C9" w:rsidRDefault="00A029C9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若狀況有改善</w:t>
      </w:r>
    </w:p>
    <w:p w:rsidR="00A029C9" w:rsidRDefault="00A029C9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可慢慢恢復用口進食</w:t>
      </w:r>
    </w:p>
    <w:p w:rsidR="00A029C9" w:rsidRDefault="00A029C9">
      <w:pPr>
        <w:numPr>
          <w:ilvl w:val="2"/>
          <w:numId w:val="3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Calibri" w:hAnsi="Calibri" w:cs="Calibri"/>
          <w:color w:val="70AD47"/>
          <w:sz w:val="22"/>
          <w:szCs w:val="22"/>
        </w:rPr>
        <w:t>3-4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天內慢慢轉為口服抗凝血藥</w:t>
      </w:r>
    </w:p>
    <w:p w:rsidR="00A029C9" w:rsidRDefault="00A029C9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抗凝血治療時間</w:t>
      </w:r>
    </w:p>
    <w:p w:rsidR="00A029C9" w:rsidRDefault="00A029C9">
      <w:pPr>
        <w:numPr>
          <w:ilvl w:val="4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3–6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</w:t>
      </w:r>
    </w:p>
    <w:p w:rsidR="00A029C9" w:rsidRDefault="00A029C9">
      <w:pPr>
        <w:numPr>
          <w:ilvl w:val="4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永久性高凝血狀態，需終生使用</w:t>
      </w:r>
    </w:p>
    <w:p w:rsidR="00A029C9" w:rsidRDefault="00A029C9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手術</w:t>
      </w:r>
    </w:p>
    <w:p w:rsidR="00A029C9" w:rsidRDefault="00A029C9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切除壞死的腸段</w:t>
      </w:r>
    </w:p>
    <w:p w:rsidR="00A029C9" w:rsidRDefault="00A029C9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若殘餘腸段血流不確定</w:t>
      </w:r>
      <w:r>
        <w:rPr>
          <w:rFonts w:ascii="微軟正黑體" w:eastAsia="微軟正黑體" w:hAnsi="微軟正黑體" w:cs="Calibri" w:hint="eastAsia"/>
          <w:sz w:val="22"/>
          <w:szCs w:val="22"/>
        </w:rPr>
        <w:t>，建議</w:t>
      </w:r>
      <w:r>
        <w:rPr>
          <w:rFonts w:ascii="Calibri" w:hAnsi="Calibri" w:cs="Calibri"/>
          <w:color w:val="C00000"/>
          <w:sz w:val="22"/>
          <w:szCs w:val="22"/>
        </w:rPr>
        <w:t xml:space="preserve"> 24–48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小時內再手術評估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second-look operation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A029C9" w:rsidRDefault="00A029C9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切除後再進行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腸段吻合（</w:t>
      </w:r>
      <w:r>
        <w:rPr>
          <w:rFonts w:ascii="Calibri" w:hAnsi="Calibri" w:cs="Calibri"/>
          <w:color w:val="C00000"/>
          <w:sz w:val="22"/>
          <w:szCs w:val="22"/>
        </w:rPr>
        <w:t xml:space="preserve">primary </w:t>
      </w:r>
      <w:r>
        <w:rPr>
          <w:rFonts w:ascii="Calibri" w:hAnsi="Calibri" w:cs="Calibri"/>
          <w:color w:val="C00000"/>
          <w:sz w:val="22"/>
          <w:szCs w:val="22"/>
        </w:rPr>
        <w:t>anastomosis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A029C9" w:rsidRDefault="00A029C9">
      <w:pPr>
        <w:numPr>
          <w:ilvl w:val="3"/>
          <w:numId w:val="3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術中與術後需給予廣效性抗生素</w:t>
      </w:r>
    </w:p>
    <w:p w:rsidR="00A029C9" w:rsidRDefault="00A029C9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A029C9" w:rsidRDefault="00A029C9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Peritoneal signs (+)</w:t>
      </w:r>
      <w:r>
        <w:rPr>
          <w:rFonts w:ascii="微軟正黑體" w:eastAsia="微軟正黑體" w:hAnsi="微軟正黑體" w:cs="Calibri" w:hint="eastAsia"/>
          <w:sz w:val="22"/>
          <w:szCs w:val="22"/>
        </w:rPr>
        <w:t>：需進行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緊急剖腹探查（</w:t>
      </w:r>
      <w:r>
        <w:rPr>
          <w:rFonts w:ascii="Calibri" w:hAnsi="Calibri" w:cs="Calibri"/>
          <w:color w:val="70AD47"/>
          <w:sz w:val="22"/>
          <w:szCs w:val="22"/>
        </w:rPr>
        <w:t>urgent laparotomy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A029C9" w:rsidRDefault="00A029C9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手術</w:t>
      </w:r>
      <w:r>
        <w:rPr>
          <w:rFonts w:ascii="Calibri" w:hAnsi="Calibri" w:cs="Calibri"/>
          <w:b/>
          <w:bCs/>
          <w:sz w:val="22"/>
          <w:szCs w:val="22"/>
        </w:rPr>
        <w:t>Findings</w:t>
      </w:r>
    </w:p>
    <w:p w:rsidR="00A029C9" w:rsidRDefault="00A029C9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腸繫膜與腸壁腫脹、發紺（</w:t>
      </w:r>
      <w:r>
        <w:rPr>
          <w:rFonts w:ascii="Calibri" w:hAnsi="Calibri" w:cs="Calibri"/>
          <w:sz w:val="22"/>
          <w:szCs w:val="22"/>
        </w:rPr>
        <w:t>cyanosis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A029C9" w:rsidRDefault="00A029C9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靜脈血栓可能延伸至遠端腸繫膜靜脈</w:t>
      </w:r>
    </w:p>
    <w:p w:rsidR="00A029C9" w:rsidRDefault="00A029C9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動脈供應通常仍保留</w:t>
      </w:r>
    </w:p>
    <w:p w:rsidR="00A029C9" w:rsidRDefault="00A029C9">
      <w:pPr>
        <w:numPr>
          <w:ilvl w:val="0"/>
          <w:numId w:val="4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A029C9" w:rsidRDefault="00A029C9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Sabiston Textbook of Surgery 21st Edition </w:t>
      </w:r>
    </w:p>
    <w:p w:rsidR="00A029C9" w:rsidRDefault="00A029C9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Schwartz's Principles of Surgery 11th Edition</w:t>
      </w:r>
    </w:p>
    <w:p w:rsidR="00A029C9" w:rsidRDefault="00A029C9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Chronic Venous Disease,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29C9" w:rsidRDefault="00A029C9" w:rsidP="00A029C9">
      <w:r>
        <w:separator/>
      </w:r>
    </w:p>
  </w:endnote>
  <w:endnote w:type="continuationSeparator" w:id="0">
    <w:p w:rsidR="00A029C9" w:rsidRDefault="00A029C9" w:rsidP="00A02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29C9" w:rsidRDefault="00A029C9" w:rsidP="00A029C9">
      <w:r>
        <w:separator/>
      </w:r>
    </w:p>
  </w:footnote>
  <w:footnote w:type="continuationSeparator" w:id="0">
    <w:p w:rsidR="00A029C9" w:rsidRDefault="00A029C9" w:rsidP="00A029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42822"/>
    <w:multiLevelType w:val="multilevel"/>
    <w:tmpl w:val="D396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984A0B"/>
    <w:multiLevelType w:val="multilevel"/>
    <w:tmpl w:val="97E6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AD951E1"/>
    <w:multiLevelType w:val="multilevel"/>
    <w:tmpl w:val="4296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1493869">
    <w:abstractNumId w:val="2"/>
  </w:num>
  <w:num w:numId="2" w16cid:durableId="95101405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759063422">
    <w:abstractNumId w:val="1"/>
  </w:num>
  <w:num w:numId="4" w16cid:durableId="39906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9C9"/>
    <w:rsid w:val="00A029C9"/>
    <w:rsid w:val="00AF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BBB332A-A74D-4C25-B137-DFD088558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A029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029C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029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029C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2025-07-29T02:26:00Z</dcterms:created>
  <dcterms:modified xsi:type="dcterms:W3CDTF">2025-07-29T02:26:00Z</dcterms:modified>
</cp:coreProperties>
</file>