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7FF2" w:rsidRDefault="00C27FF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人造瓣膜的選擇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(Prosthetic valve) </w:t>
      </w:r>
    </w:p>
    <w:p w:rsidR="00C27FF2" w:rsidRDefault="00C27FF2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C27FF2" w:rsidRDefault="00C27FF2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11:59</w:t>
      </w:r>
    </w:p>
    <w:p w:rsidR="00C27FF2" w:rsidRDefault="00C27FF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27FF2" w:rsidRDefault="00C27FF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機械瓣與生物瓣比較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60"/>
        <w:gridCol w:w="2224"/>
        <w:gridCol w:w="3482"/>
      </w:tblGrid>
      <w:tr w:rsidR="00000000">
        <w:trPr>
          <w:divId w:val="193851333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機械瓣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生物瓣</w:t>
            </w:r>
          </w:p>
        </w:tc>
      </w:tr>
      <w:tr w:rsidR="00000000">
        <w:trPr>
          <w:divId w:val="193851333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材質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碳化鈦等人工材料</w:t>
            </w:r>
          </w:p>
          <w:p w:rsidR="00C27FF2" w:rsidRDefault="00C27FF2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豬或牛的心包膜</w:t>
            </w:r>
          </w:p>
          <w:p w:rsidR="00C27FF2" w:rsidRDefault="00C27FF2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</w:tr>
      <w:tr w:rsidR="00000000">
        <w:trPr>
          <w:divId w:val="193851333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瓣膜耐久性（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Valve Durability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）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較長</w:t>
            </w:r>
          </w:p>
          <w:p w:rsidR="00C27FF2" w:rsidRDefault="00C27FF2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  <w:lang w:val="en-GB"/>
              </w:rPr>
              <w:t>20-30</w:t>
            </w:r>
            <w:r>
              <w:rPr>
                <w:rFonts w:ascii="Calibri" w:hAnsi="Calibri" w:cs="Calibri"/>
                <w:color w:val="C00000"/>
                <w:sz w:val="22"/>
                <w:szCs w:val="22"/>
                <w:lang w:val="en-GB"/>
              </w:rPr>
              <w:t>年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F79646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較短</w:t>
            </w:r>
          </w:p>
          <w:p w:rsidR="00C27FF2" w:rsidRDefault="00C27FF2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F79646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79646"/>
                <w:sz w:val="22"/>
                <w:szCs w:val="22"/>
                <w:lang w:val="en-GB"/>
              </w:rPr>
              <w:t>10-15</w:t>
            </w:r>
            <w:r>
              <w:rPr>
                <w:rFonts w:ascii="Calibri" w:hAnsi="Calibri" w:cs="Calibri"/>
                <w:b/>
                <w:bCs/>
                <w:color w:val="F79646"/>
                <w:sz w:val="22"/>
                <w:szCs w:val="22"/>
                <w:lang w:val="en-GB"/>
              </w:rPr>
              <w:t>年</w:t>
            </w:r>
          </w:p>
        </w:tc>
      </w:tr>
      <w:tr w:rsidR="00000000">
        <w:trPr>
          <w:divId w:val="193851333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預期壽命和年齡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主動脈瓣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 xml:space="preserve">&lt;50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歲</w:t>
            </w:r>
          </w:p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二尖瓣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&lt;65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歲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&gt;65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>歲</w:t>
            </w:r>
          </w:p>
        </w:tc>
      </w:tr>
      <w:tr w:rsidR="00000000">
        <w:trPr>
          <w:divId w:val="193851333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抗凝血治療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終生使用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 xml:space="preserve"> Warfarin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(Vitamin K Antagonist, VKA)</w:t>
            </w:r>
          </w:p>
        </w:tc>
        <w:tc>
          <w:tcPr>
            <w:tcW w:w="5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術後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3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個月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Warfarin/DOAC</w:t>
            </w:r>
          </w:p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若沒有其他適應症（如心房顫動），僅需低劑量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Aspirin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，若有則可用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Warfarin/DOAC</w:t>
            </w:r>
          </w:p>
        </w:tc>
      </w:tr>
      <w:tr w:rsidR="00000000">
        <w:trPr>
          <w:divId w:val="193851333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再介入治療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較低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較高</w:t>
            </w:r>
          </w:p>
        </w:tc>
      </w:tr>
      <w:tr w:rsidR="00000000">
        <w:trPr>
          <w:divId w:val="193851333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有懷孕考量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不建議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建議使用</w:t>
            </w:r>
          </w:p>
        </w:tc>
      </w:tr>
      <w:tr w:rsidR="00000000">
        <w:trPr>
          <w:divId w:val="193851333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其他合併症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曾接受胸部放射治療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高出血風險</w:t>
            </w:r>
          </w:p>
        </w:tc>
      </w:tr>
    </w:tbl>
    <w:p w:rsidR="00C27FF2" w:rsidRDefault="00C27FF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50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至</w:t>
      </w:r>
      <w:r>
        <w:rPr>
          <w:rFonts w:ascii="Calibri" w:hAnsi="Calibri" w:cs="Calibri"/>
          <w:sz w:val="22"/>
          <w:szCs w:val="22"/>
          <w:lang w:val="en-GB"/>
        </w:rPr>
        <w:t xml:space="preserve"> 65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歲的患者：根據病患偏好、瓣膜耐久性、再介入的可能性、抗凝出血和血栓栓塞風險、合併症來選擇用機械或生物瓣膜</w:t>
      </w:r>
    </w:p>
    <w:p w:rsidR="00C27FF2" w:rsidRDefault="00C27FF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C27FF2" w:rsidRDefault="00C27FF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術後抗凝血治療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05"/>
        <w:gridCol w:w="2460"/>
        <w:gridCol w:w="862"/>
        <w:gridCol w:w="1739"/>
      </w:tblGrid>
      <w:tr w:rsidR="00000000">
        <w:trPr>
          <w:divId w:val="277493975"/>
        </w:trPr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瓣膜種類與狀況</w:t>
            </w:r>
          </w:p>
        </w:tc>
        <w:tc>
          <w:tcPr>
            <w:tcW w:w="28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抗血栓藥物</w:t>
            </w:r>
          </w:p>
        </w:tc>
        <w:tc>
          <w:tcPr>
            <w:tcW w:w="1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INR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目標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治療時間</w:t>
            </w:r>
          </w:p>
        </w:tc>
      </w:tr>
      <w:tr w:rsidR="00000000">
        <w:trPr>
          <w:divId w:val="277493975"/>
        </w:trPr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主動脈機械瓣</w:t>
            </w:r>
          </w:p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  <w:t>（無栓塞風險因子）</w:t>
            </w:r>
          </w:p>
        </w:tc>
        <w:tc>
          <w:tcPr>
            <w:tcW w:w="28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Warfarin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低出血風險可加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Aspirin</w:t>
            </w:r>
          </w:p>
        </w:tc>
        <w:tc>
          <w:tcPr>
            <w:tcW w:w="1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2.0-3.0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終身</w:t>
            </w:r>
          </w:p>
        </w:tc>
      </w:tr>
      <w:tr w:rsidR="00000000">
        <w:trPr>
          <w:divId w:val="277493975"/>
        </w:trPr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主動脈機械瓣</w:t>
            </w:r>
          </w:p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（有栓塞風險因子或舊型瓣膜）</w:t>
            </w:r>
          </w:p>
        </w:tc>
        <w:tc>
          <w:tcPr>
            <w:tcW w:w="28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Warfarin + Aspirin</w:t>
            </w:r>
          </w:p>
        </w:tc>
        <w:tc>
          <w:tcPr>
            <w:tcW w:w="1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2.5-3.5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終身</w:t>
            </w:r>
          </w:p>
        </w:tc>
      </w:tr>
      <w:tr w:rsidR="00000000">
        <w:trPr>
          <w:divId w:val="277493975"/>
        </w:trPr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lastRenderedPageBreak/>
              <w:t>二尖瓣機械瓣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Warfarin</w:t>
            </w:r>
          </w:p>
        </w:tc>
        <w:tc>
          <w:tcPr>
            <w:tcW w:w="1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2.5-3.5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終身</w:t>
            </w:r>
          </w:p>
        </w:tc>
      </w:tr>
      <w:tr w:rsidR="00000000">
        <w:trPr>
          <w:divId w:val="277493975"/>
        </w:trPr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生物瓣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，低出血風險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warfarin/DOAC</w:t>
            </w:r>
          </w:p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low-dose Asparin</w:t>
            </w:r>
          </w:p>
        </w:tc>
        <w:tc>
          <w:tcPr>
            <w:tcW w:w="1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2.0-3.0</w:t>
            </w:r>
          </w:p>
        </w:tc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7FF2" w:rsidRDefault="00C27FF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終身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Aspirin</w:t>
            </w:r>
          </w:p>
        </w:tc>
      </w:tr>
    </w:tbl>
    <w:p w:rsidR="00C27FF2" w:rsidRDefault="00C27FF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Warfarin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的中風、出血風險較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Dabigatran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低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C27FF2" w:rsidRDefault="00C27FF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Direct oral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anticoagulant, DOACs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不建議使用在機械瓣膜的病人中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，因安全性與療效尚未被實證支持</w:t>
      </w:r>
    </w:p>
    <w:p w:rsidR="00C27FF2" w:rsidRDefault="00C27FF2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7FF2" w:rsidRDefault="00C27FF2" w:rsidP="00C27FF2">
      <w:r>
        <w:separator/>
      </w:r>
    </w:p>
  </w:endnote>
  <w:endnote w:type="continuationSeparator" w:id="0">
    <w:p w:rsidR="00C27FF2" w:rsidRDefault="00C27FF2" w:rsidP="00C27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7FF2" w:rsidRDefault="00C27FF2" w:rsidP="00C27FF2">
      <w:r>
        <w:separator/>
      </w:r>
    </w:p>
  </w:footnote>
  <w:footnote w:type="continuationSeparator" w:id="0">
    <w:p w:rsidR="00C27FF2" w:rsidRDefault="00C27FF2" w:rsidP="00C27F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6AD6"/>
    <w:multiLevelType w:val="multilevel"/>
    <w:tmpl w:val="6296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53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F2"/>
    <w:rsid w:val="0052197B"/>
    <w:rsid w:val="00C2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EA4027D-7ED7-4582-83DC-F9249964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27F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27FF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27F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27FF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3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2025-07-29T02:25:00Z</dcterms:created>
  <dcterms:modified xsi:type="dcterms:W3CDTF">2025-07-29T02:25:00Z</dcterms:modified>
</cp:coreProperties>
</file>