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F76" w:rsidRDefault="00973F7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胸部骨折（</w:t>
      </w:r>
      <w:r>
        <w:rPr>
          <w:rFonts w:ascii="微軟正黑體" w:eastAsia="微軟正黑體" w:hAnsi="微軟正黑體" w:cs="Calibri" w:hint="eastAsia"/>
          <w:sz w:val="40"/>
          <w:szCs w:val="40"/>
        </w:rPr>
        <w:t>Rib Fracture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973F76" w:rsidRDefault="00973F7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73F76" w:rsidRDefault="00973F7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2:27</w:t>
      </w:r>
    </w:p>
    <w:p w:rsidR="00973F76" w:rsidRDefault="00973F76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肋骨骨折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連枷胸（</w:t>
      </w:r>
      <w:r>
        <w:rPr>
          <w:rFonts w:ascii="Calibri" w:hAnsi="Calibri" w:cs="Calibri"/>
          <w:b/>
          <w:bCs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同側至少四根</w:t>
      </w:r>
      <w:r>
        <w:rPr>
          <w:rFonts w:ascii="微軟正黑體" w:eastAsia="微軟正黑體" w:hAnsi="微軟正黑體" w:cs="Calibri" w:hint="eastAsia"/>
          <w:sz w:val="22"/>
          <w:szCs w:val="22"/>
        </w:rPr>
        <w:t>肋骨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各有兩處骨折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嚴重胸部創傷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：肋骨骨折發生率約為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需住院的創傷病人：</w:t>
      </w:r>
      <w:r>
        <w:rPr>
          <w:rFonts w:ascii="微軟正黑體" w:eastAsia="微軟正黑體" w:hAnsi="微軟正黑體" w:cs="Calibri" w:hint="eastAsia"/>
          <w:sz w:val="22"/>
          <w:szCs w:val="22"/>
        </w:rPr>
        <w:t>約有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的合併有肋骨骨折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鈍性創傷（</w:t>
      </w:r>
      <w:r>
        <w:rPr>
          <w:rFonts w:ascii="Calibri" w:hAnsi="Calibri" w:cs="Calibri"/>
          <w:b/>
          <w:bCs/>
          <w:sz w:val="22"/>
          <w:szCs w:val="22"/>
        </w:rPr>
        <w:t>blunt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65%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會出現一處或多處肋骨骨折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死亡率約為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7%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15%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會導致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連枷胸（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flail chest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死亡率約為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20%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穿刺性胸部創傷（</w:t>
      </w:r>
      <w:r>
        <w:rPr>
          <w:rFonts w:ascii="Calibri" w:hAnsi="Calibri" w:cs="Calibri"/>
          <w:sz w:val="22"/>
          <w:szCs w:val="22"/>
        </w:rPr>
        <w:t>penetrating chest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超過四分之一合併肋骨骨折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死亡率超過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19%</w:t>
      </w:r>
    </w:p>
    <w:p w:rsidR="00973F76" w:rsidRDefault="00973F76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小兒胸部創傷</w:t>
      </w:r>
    </w:p>
    <w:p w:rsidR="00973F76" w:rsidRDefault="00973F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兒童嚴重胸部創傷時的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肋骨骨折率約為</w:t>
      </w:r>
      <w:r>
        <w:rPr>
          <w:rFonts w:ascii="Calibri" w:hAnsi="Calibri" w:cs="Calibri"/>
          <w:color w:val="C00000"/>
          <w:sz w:val="22"/>
          <w:szCs w:val="22"/>
        </w:rPr>
        <w:t xml:space="preserve"> 40%</w:t>
      </w:r>
    </w:p>
    <w:p w:rsidR="00973F76" w:rsidRDefault="00973F76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兒童肋骨結構以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軟骨（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cartilaginous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）為主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，因此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較柔軟（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pliable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）及彈性</w:t>
      </w:r>
    </w:p>
    <w:p w:rsidR="00973F76" w:rsidRDefault="00973F76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即使沒有骨折，仍可能合併肺挫傷、氣胸、血胸，甚至嚴重的內臟損傷</w:t>
      </w:r>
    </w:p>
    <w:p w:rsidR="00973F76" w:rsidRDefault="00973F76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幼兒肋骨骨折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應高度懷疑兒童虐待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的可能性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病因（</w:t>
      </w:r>
      <w:r>
        <w:rPr>
          <w:rFonts w:ascii="Calibri" w:hAnsi="Calibri" w:cs="Calibri"/>
          <w:color w:val="2E75B5"/>
          <w:sz w:val="28"/>
          <w:szCs w:val="28"/>
        </w:rPr>
        <w:t>Etiology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73F76" w:rsidRDefault="00973F7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鈍性胸部外傷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：車禍、高處墜落</w:t>
      </w:r>
    </w:p>
    <w:p w:rsidR="00973F76" w:rsidRDefault="00973F7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非意外性創傷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Nonaccidental trauma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病理性骨折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Pathological fractures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臨床表現（</w:t>
      </w:r>
      <w:r>
        <w:rPr>
          <w:rFonts w:ascii="Calibri" w:hAnsi="Calibri" w:cs="Calibri"/>
          <w:color w:val="2E75B5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肋膜性胸痛（</w:t>
      </w:r>
      <w:r>
        <w:rPr>
          <w:rFonts w:ascii="Calibri" w:hAnsi="Calibri" w:cs="Calibri"/>
          <w:color w:val="C00000"/>
          <w:sz w:val="22"/>
          <w:szCs w:val="22"/>
        </w:rPr>
        <w:t>Pleuritic chest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：呼吸時疼痛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：呼吸急促、呼吸困難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胸壁壓痛、瘀青和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或變形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關節摩擦音（</w:t>
      </w:r>
      <w:r>
        <w:rPr>
          <w:rFonts w:ascii="Calibri" w:hAnsi="Calibri" w:cs="Calibri"/>
          <w:color w:val="C00000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關節活動時，由於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關節面摩擦而產生的聲音或觸感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連枷胸表現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胸壁反常運動（</w:t>
      </w:r>
      <w:r>
        <w:rPr>
          <w:rFonts w:ascii="Calibri" w:hAnsi="Calibri" w:cs="Calibri"/>
          <w:color w:val="C00000"/>
          <w:sz w:val="22"/>
          <w:szCs w:val="22"/>
        </w:rPr>
        <w:t>Paradoxical chest movement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吸氣時胸壁凹陷、呼氣時外凸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胸部電腦斷層（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：若為重大外傷，需盡快進行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特定肋骨骨折時，需特別考慮的情況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前三節肋骨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：應考慮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臂叢神經（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主動脈破裂（</w:t>
      </w:r>
      <w:r>
        <w:rPr>
          <w:rFonts w:ascii="Calibri" w:hAnsi="Calibri" w:cs="Calibri"/>
          <w:color w:val="C00000"/>
          <w:sz w:val="22"/>
          <w:szCs w:val="22"/>
        </w:rPr>
        <w:t>aortic disruption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至第</w:t>
      </w:r>
      <w:r>
        <w:rPr>
          <w:rFonts w:ascii="Calibri" w:hAnsi="Calibri" w:cs="Calibri"/>
          <w:b/>
          <w:bCs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佔比最多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，雙側骨折的機率約為</w:t>
      </w:r>
      <w:r>
        <w:rPr>
          <w:rFonts w:ascii="Calibri" w:hAnsi="Calibri" w:cs="Calibri"/>
          <w:sz w:val="22"/>
          <w:szCs w:val="22"/>
        </w:rPr>
        <w:t xml:space="preserve"> 6% </w:t>
      </w:r>
      <w:r>
        <w:rPr>
          <w:rFonts w:ascii="微軟正黑體" w:eastAsia="微軟正黑體" w:hAnsi="微軟正黑體" w:cs="Calibri" w:hint="eastAsia"/>
          <w:sz w:val="22"/>
          <w:szCs w:val="22"/>
        </w:rPr>
        <w:t>至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若未提供良好止痛，造成痰液排出困難，長期會影響肺功能。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</w:t>
      </w:r>
      <w:r>
        <w:rPr>
          <w:rFonts w:ascii="Calibri" w:hAnsi="Calibri" w:cs="Calibri"/>
          <w:b/>
          <w:bCs/>
          <w:sz w:val="22"/>
          <w:szCs w:val="22"/>
        </w:rPr>
        <w:t xml:space="preserve"> 9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節以下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需排除肝臟、脾臟與腎臟損傷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橫膈膜破裂（</w:t>
      </w:r>
      <w:r>
        <w:rPr>
          <w:rFonts w:ascii="Calibri" w:hAnsi="Calibri" w:cs="Calibri"/>
          <w:color w:val="C00000"/>
          <w:sz w:val="22"/>
          <w:szCs w:val="22"/>
        </w:rPr>
        <w:t>diaphragmatic tears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的可能性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處置原則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≤ 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且止痛有效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可考慮出院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≥ 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、疼痛控制不佳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住院觀察</w:t>
      </w:r>
      <w:r>
        <w:rPr>
          <w:rFonts w:ascii="微軟正黑體" w:eastAsia="微軟正黑體" w:hAnsi="微軟正黑體" w:cs="Calibri" w:hint="eastAsia"/>
          <w:sz w:val="22"/>
          <w:szCs w:val="22"/>
        </w:rPr>
        <w:t>、止痛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&gt; 65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歲、有呼吸系統共病、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≥3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根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考慮收住加護病房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單一肋骨骨折（</w:t>
      </w:r>
      <w:r>
        <w:rPr>
          <w:rFonts w:ascii="Calibri" w:hAnsi="Calibri" w:cs="Calibri"/>
          <w:b/>
          <w:bCs/>
          <w:sz w:val="22"/>
          <w:szCs w:val="22"/>
        </w:rPr>
        <w:t>Isolated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非手術治療為主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最重要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原則：多模式、減少使用鴉片類止痛藥的止痛方案（</w:t>
      </w:r>
      <w:r>
        <w:rPr>
          <w:rFonts w:ascii="Calibri" w:hAnsi="Calibri" w:cs="Calibri"/>
          <w:sz w:val="22"/>
          <w:szCs w:val="22"/>
        </w:rPr>
        <w:t>multimodal narcotic-sparing pain regimens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acetaminophen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lidocaine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貼片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介入性治療：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硬膜外止痛（</w:t>
      </w:r>
      <w:r>
        <w:rPr>
          <w:rFonts w:ascii="Calibri" w:hAnsi="Calibri" w:cs="Calibri"/>
          <w:color w:val="70AD47"/>
          <w:sz w:val="22"/>
          <w:szCs w:val="22"/>
        </w:rPr>
        <w:t>epidural catheterization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鼓勵病人使用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進行深呼吸訓練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維持半坐臥姿勢（</w:t>
      </w:r>
      <w:r>
        <w:rPr>
          <w:rFonts w:ascii="Calibri" w:hAnsi="Calibri" w:cs="Calibri"/>
          <w:color w:val="70AD47"/>
          <w:sz w:val="22"/>
          <w:szCs w:val="22"/>
        </w:rPr>
        <w:t>semi-sitting position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多根肋骨骨折與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出現急性呼吸窘迫：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插管並給予正壓通氣（</w:t>
      </w:r>
      <w:r>
        <w:rPr>
          <w:rFonts w:ascii="Calibri" w:hAnsi="Calibri" w:cs="Calibri"/>
          <w:color w:val="70AD47"/>
          <w:sz w:val="22"/>
          <w:szCs w:val="22"/>
        </w:rPr>
        <w:t>PPV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973F76" w:rsidRDefault="00973F7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正壓通氣可提供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暫時內部固定（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internal stabilization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）並改善換氣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，等待手術處理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若合併氣胸或血胸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放置胸管（</w:t>
      </w:r>
      <w:r>
        <w:rPr>
          <w:rFonts w:ascii="Calibri" w:hAnsi="Calibri" w:cs="Calibri"/>
          <w:color w:val="70AD47"/>
          <w:sz w:val="22"/>
          <w:szCs w:val="22"/>
        </w:rPr>
        <w:t>chest tube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：病人自控止痛（</w:t>
      </w:r>
      <w:r>
        <w:rPr>
          <w:rFonts w:ascii="Calibri" w:hAnsi="Calibri" w:cs="Calibri"/>
          <w:sz w:val="22"/>
          <w:szCs w:val="22"/>
        </w:rPr>
        <w:t>PCA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）、肋間神經阻斷（</w:t>
      </w:r>
      <w:r>
        <w:rPr>
          <w:rFonts w:ascii="Calibri" w:hAnsi="Calibri" w:cs="Calibri"/>
          <w:sz w:val="22"/>
          <w:szCs w:val="22"/>
        </w:rPr>
        <w:t>intercostal nerve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誘發性肺活量計</w:t>
      </w:r>
      <w:r>
        <w:rPr>
          <w:rFonts w:ascii="Calibri" w:hAnsi="Calibri" w:cs="Calibri"/>
          <w:color w:val="70AD47"/>
          <w:sz w:val="22"/>
          <w:szCs w:val="22"/>
        </w:rPr>
        <w:t> ( incentive spirometer ) 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進行肺部擴張訓練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非節段性肋骨骨折（</w:t>
      </w:r>
      <w:r>
        <w:rPr>
          <w:rFonts w:ascii="Calibri" w:hAnsi="Calibri" w:cs="Calibri"/>
          <w:b/>
          <w:bCs/>
          <w:sz w:val="22"/>
          <w:szCs w:val="22"/>
        </w:rPr>
        <w:t xml:space="preserve">nonsegmental </w:t>
      </w:r>
      <w:r>
        <w:rPr>
          <w:rFonts w:ascii="Calibri" w:hAnsi="Calibri" w:cs="Calibri"/>
          <w:b/>
          <w:bCs/>
          <w:sz w:val="22"/>
          <w:szCs w:val="22"/>
        </w:rPr>
        <w:t>fractures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中，近期試驗顯示：</w:t>
      </w:r>
    </w:p>
    <w:p w:rsidR="00973F76" w:rsidRDefault="00973F76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手術固定後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週疼痛指數降低</w:t>
      </w:r>
    </w:p>
    <w:p w:rsidR="00973F76" w:rsidRDefault="00973F76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生活品質提高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連枷胸：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評估是否需手術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等待手術前進行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正壓通氣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，提供暫時內部固定並改善換氣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肋骨骨折內固定（</w:t>
      </w:r>
      <w:r>
        <w:rPr>
          <w:rFonts w:ascii="Calibri" w:hAnsi="Calibri" w:cs="Calibri"/>
          <w:sz w:val="22"/>
          <w:szCs w:val="22"/>
        </w:rPr>
        <w:t>osteosynthesis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嚴重變形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疼痛難以控制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尚無明確指引定義哪些情況需進行固定，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應按個案討論（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case-by-case basis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，與病人充分溝通後再決定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併發症（</w:t>
      </w:r>
      <w:r>
        <w:rPr>
          <w:rFonts w:ascii="Calibri" w:hAnsi="Calibri" w:cs="Calibri"/>
          <w:color w:val="2E75B5"/>
          <w:sz w:val="28"/>
          <w:szCs w:val="28"/>
        </w:rPr>
        <w:t>Complications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因疼痛而無法有效清除肺分泌物，進而造成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肺不張（</w:t>
      </w:r>
      <w:r>
        <w:rPr>
          <w:rFonts w:ascii="Calibri" w:hAnsi="Calibri" w:cs="Calibri"/>
          <w:color w:val="C00000"/>
          <w:sz w:val="22"/>
          <w:szCs w:val="22"/>
        </w:rPr>
        <w:t>Atelectasis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氣胸、血胸、肺挫傷（</w:t>
      </w:r>
      <w:r>
        <w:rPr>
          <w:rFonts w:ascii="Calibri" w:hAnsi="Calibri" w:cs="Calibri"/>
          <w:color w:val="C00000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腹內臟器受損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骨癒合不全（</w:t>
      </w:r>
      <w:r>
        <w:rPr>
          <w:rFonts w:ascii="Calibri" w:hAnsi="Calibri" w:cs="Calibri"/>
          <w:sz w:val="22"/>
          <w:szCs w:val="22"/>
        </w:rPr>
        <w:t>Nonunion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973F76" w:rsidRDefault="00973F7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不良預後因子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高齡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本來就有肺病（</w:t>
      </w:r>
      <w:r>
        <w:rPr>
          <w:rFonts w:ascii="Calibri" w:hAnsi="Calibri" w:cs="Calibri"/>
          <w:color w:val="C00000"/>
          <w:sz w:val="22"/>
          <w:szCs w:val="22"/>
        </w:rPr>
        <w:t>underlying lung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973F76" w:rsidRDefault="00973F76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病人順從性差</w:t>
      </w:r>
    </w:p>
    <w:p w:rsidR="00973F76" w:rsidRDefault="00973F76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胸骨損傷（</w:t>
      </w:r>
      <w:r>
        <w:rPr>
          <w:rFonts w:ascii="Calibri" w:hAnsi="Calibri" w:cs="Calibri"/>
          <w:color w:val="1E4E79"/>
          <w:sz w:val="32"/>
          <w:szCs w:val="32"/>
        </w:rPr>
        <w:t>Sternal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973F76" w:rsidRDefault="00973F76">
      <w:pPr>
        <w:numPr>
          <w:ilvl w:val="0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較罕見</w:t>
      </w:r>
    </w:p>
    <w:p w:rsidR="00973F76" w:rsidRDefault="00973F76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前胸部鈍傷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車禍時胸部撞擊方向盤</w:t>
      </w:r>
    </w:p>
    <w:p w:rsidR="00973F76" w:rsidRDefault="00973F76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需懷疑有潛在的心臟血管損傷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，如主動脈破裂、心挫傷（</w:t>
      </w:r>
      <w:r>
        <w:rPr>
          <w:rFonts w:ascii="Calibri" w:hAnsi="Calibri" w:cs="Calibri"/>
          <w:sz w:val="22"/>
          <w:szCs w:val="22"/>
        </w:rPr>
        <w:t>cardiac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）、心包積液（</w:t>
      </w:r>
      <w:r>
        <w:rPr>
          <w:rFonts w:ascii="Calibri" w:hAnsi="Calibri" w:cs="Calibri"/>
          <w:sz w:val="22"/>
          <w:szCs w:val="22"/>
        </w:rPr>
        <w:t>pericardial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73F76" w:rsidRDefault="00973F76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、心電圖、心肌酵素、心臟超音波</w:t>
      </w:r>
    </w:p>
    <w:p w:rsidR="00973F76" w:rsidRDefault="00973F76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鎖骨骨折（</w:t>
      </w:r>
      <w:r>
        <w:rPr>
          <w:rFonts w:ascii="Calibri" w:hAnsi="Calibri" w:cs="Calibri"/>
          <w:color w:val="1E4E79"/>
          <w:sz w:val="32"/>
          <w:szCs w:val="32"/>
        </w:rPr>
        <w:t>Clavicular fractures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973F76" w:rsidRDefault="00973F76">
      <w:pPr>
        <w:numPr>
          <w:ilvl w:val="0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可能合併大血管（</w:t>
      </w:r>
      <w:r>
        <w:rPr>
          <w:rFonts w:ascii="Calibri" w:hAnsi="Calibri" w:cs="Calibri"/>
          <w:color w:val="C00000"/>
          <w:sz w:val="22"/>
          <w:szCs w:val="22"/>
        </w:rPr>
        <w:t>great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）或臂叢神經損傷</w:t>
      </w:r>
    </w:p>
    <w:p w:rsidR="00973F76" w:rsidRDefault="00973F76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支持性治療、固定</w:t>
      </w:r>
    </w:p>
    <w:p w:rsidR="00973F76" w:rsidRDefault="00973F76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973F76" w:rsidRDefault="00973F76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973F76" w:rsidRDefault="00973F76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973F76" w:rsidRDefault="00973F76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3F76" w:rsidRDefault="00973F76" w:rsidP="00973F76">
      <w:r>
        <w:separator/>
      </w:r>
    </w:p>
  </w:endnote>
  <w:endnote w:type="continuationSeparator" w:id="0">
    <w:p w:rsidR="00973F76" w:rsidRDefault="00973F76" w:rsidP="0097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3F76" w:rsidRDefault="00973F76" w:rsidP="00973F76">
      <w:r>
        <w:separator/>
      </w:r>
    </w:p>
  </w:footnote>
  <w:footnote w:type="continuationSeparator" w:id="0">
    <w:p w:rsidR="00973F76" w:rsidRDefault="00973F76" w:rsidP="00973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D5B55"/>
    <w:multiLevelType w:val="multilevel"/>
    <w:tmpl w:val="3B5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F24727"/>
    <w:multiLevelType w:val="multilevel"/>
    <w:tmpl w:val="D70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0156C9"/>
    <w:multiLevelType w:val="multilevel"/>
    <w:tmpl w:val="628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A470C"/>
    <w:multiLevelType w:val="multilevel"/>
    <w:tmpl w:val="D0BA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16D4F"/>
    <w:multiLevelType w:val="multilevel"/>
    <w:tmpl w:val="596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3842F5"/>
    <w:multiLevelType w:val="multilevel"/>
    <w:tmpl w:val="0AE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79754">
    <w:abstractNumId w:val="0"/>
  </w:num>
  <w:num w:numId="2" w16cid:durableId="10022021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577872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7161159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949976334">
    <w:abstractNumId w:val="1"/>
  </w:num>
  <w:num w:numId="6" w16cid:durableId="1379284703">
    <w:abstractNumId w:val="4"/>
  </w:num>
  <w:num w:numId="7" w16cid:durableId="966542863">
    <w:abstractNumId w:val="2"/>
  </w:num>
  <w:num w:numId="8" w16cid:durableId="745801729">
    <w:abstractNumId w:val="5"/>
  </w:num>
  <w:num w:numId="9" w16cid:durableId="202210451">
    <w:abstractNumId w:val="3"/>
  </w:num>
  <w:num w:numId="10" w16cid:durableId="12701599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76"/>
    <w:rsid w:val="00973F76"/>
    <w:rsid w:val="00A9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EBA253-8A7E-4B7C-8DBF-59738E06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973F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3F7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73F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3F7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