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C1A6F" w:rsidRDefault="008C1A6F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32"/>
          <w:szCs w:val="3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神外術後電解質常見失衡</w:t>
      </w:r>
    </w:p>
    <w:p w:rsidR="008C1A6F" w:rsidRDefault="008C1A6F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6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8C1A6F" w:rsidRDefault="008C1A6F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上午</w:t>
      </w:r>
      <w:r>
        <w:rPr>
          <w:rFonts w:ascii="Calibri" w:hAnsi="Calibri" w:cs="Calibri"/>
          <w:color w:val="767676"/>
          <w:sz w:val="20"/>
          <w:szCs w:val="20"/>
        </w:rPr>
        <w:t xml:space="preserve"> 09:32</w:t>
      </w:r>
    </w:p>
    <w:p w:rsidR="008C1A6F" w:rsidRDefault="008C1A6F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C1A6F" w:rsidRDefault="008C1A6F">
      <w:pPr>
        <w:numPr>
          <w:ilvl w:val="1"/>
          <w:numId w:val="1"/>
        </w:numPr>
        <w:spacing w:line="720" w:lineRule="atLeast"/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Cerbral salt wasting</w:t>
      </w:r>
    </w:p>
    <w:p w:rsidR="008C1A6F" w:rsidRDefault="008C1A6F">
      <w:pPr>
        <w:numPr>
          <w:ilvl w:val="2"/>
          <w:numId w:val="1"/>
        </w:numPr>
        <w:spacing w:line="720" w:lineRule="atLeast"/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定義</w:t>
      </w:r>
    </w:p>
    <w:p w:rsidR="008C1A6F" w:rsidRDefault="008C1A6F">
      <w:pPr>
        <w:numPr>
          <w:ilvl w:val="3"/>
          <w:numId w:val="1"/>
        </w:numPr>
        <w:spacing w:line="720" w:lineRule="atLeast"/>
        <w:textAlignment w:val="center"/>
        <w:rPr>
          <w:rFonts w:ascii="Calibri" w:hAnsi="Calibri" w:cs="Calibri"/>
          <w:color w:val="131314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1"/>
          <w:szCs w:val="21"/>
          <w:shd w:val="clear" w:color="auto" w:fill="FFFFFF"/>
        </w:rPr>
        <w:t>大腦鹽耗症候群</w:t>
      </w:r>
      <w:r>
        <w:rPr>
          <w:rFonts w:ascii="微軟正黑體" w:eastAsia="微軟正黑體" w:hAnsi="微軟正黑體" w:cs="Calibri" w:hint="eastAsia"/>
          <w:color w:val="131314"/>
          <w:sz w:val="21"/>
          <w:szCs w:val="21"/>
          <w:shd w:val="clear" w:color="auto" w:fill="FFFFFF"/>
        </w:rPr>
        <w:t xml:space="preserve"> (Cerebral salt wasting, CSW) </w:t>
      </w:r>
      <w:r>
        <w:rPr>
          <w:rFonts w:ascii="微軟正黑體" w:eastAsia="微軟正黑體" w:hAnsi="微軟正黑體" w:cs="Calibri" w:hint="eastAsia"/>
          <w:color w:val="131314"/>
          <w:sz w:val="21"/>
          <w:szCs w:val="21"/>
          <w:shd w:val="clear" w:color="auto" w:fill="FFFFFF"/>
        </w:rPr>
        <w:t>是</w:t>
      </w:r>
      <w:r>
        <w:rPr>
          <w:rFonts w:ascii="微軟正黑體" w:eastAsia="微軟正黑體" w:hAnsi="微軟正黑體" w:cs="Calibri" w:hint="eastAsia"/>
          <w:color w:val="C00000"/>
          <w:sz w:val="21"/>
          <w:szCs w:val="21"/>
          <w:shd w:val="clear" w:color="auto" w:fill="FFFFFF"/>
        </w:rPr>
        <w:t>低血鈉伴隨尿鈉升高和低血容</w:t>
      </w:r>
      <w:r>
        <w:rPr>
          <w:rFonts w:ascii="微軟正黑體" w:eastAsia="微軟正黑體" w:hAnsi="微軟正黑體" w:cs="Calibri" w:hint="eastAsia"/>
          <w:color w:val="131314"/>
          <w:sz w:val="21"/>
          <w:szCs w:val="21"/>
          <w:shd w:val="clear" w:color="auto" w:fill="FFFFFF"/>
        </w:rPr>
        <w:t>的現象</w:t>
      </w:r>
    </w:p>
    <w:p w:rsidR="008C1A6F" w:rsidRDefault="008C1A6F">
      <w:pPr>
        <w:numPr>
          <w:ilvl w:val="2"/>
          <w:numId w:val="1"/>
        </w:numPr>
        <w:spacing w:line="7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流行病學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&amp;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機制</w:t>
      </w:r>
    </w:p>
    <w:p w:rsidR="008C1A6F" w:rsidRDefault="008C1A6F">
      <w:pPr>
        <w:numPr>
          <w:ilvl w:val="3"/>
          <w:numId w:val="1"/>
        </w:numPr>
        <w:spacing w:line="7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發生原因不明</w:t>
      </w:r>
    </w:p>
    <w:p w:rsidR="008C1A6F" w:rsidRDefault="008C1A6F">
      <w:pPr>
        <w:numPr>
          <w:ilvl w:val="3"/>
          <w:numId w:val="1"/>
        </w:numPr>
        <w:spacing w:line="7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常見於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蛛網膜下腔出血患者</w:t>
      </w:r>
      <w:r>
        <w:rPr>
          <w:rFonts w:ascii="微軟正黑體" w:eastAsia="微軟正黑體" w:hAnsi="微軟正黑體" w:cs="Calibri" w:hint="eastAsia"/>
          <w:sz w:val="22"/>
          <w:szCs w:val="22"/>
        </w:rPr>
        <w:t>以及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神外手術術後患</w:t>
      </w:r>
      <w:r>
        <w:rPr>
          <w:rFonts w:ascii="微軟正黑體" w:eastAsia="微軟正黑體" w:hAnsi="微軟正黑體" w:cs="Calibri" w:hint="eastAsia"/>
          <w:sz w:val="22"/>
          <w:szCs w:val="22"/>
        </w:rPr>
        <w:t>者</w:t>
      </w:r>
    </w:p>
    <w:p w:rsidR="008C1A6F" w:rsidRDefault="008C1A6F">
      <w:pPr>
        <w:numPr>
          <w:ilvl w:val="2"/>
          <w:numId w:val="1"/>
        </w:numPr>
        <w:spacing w:line="720" w:lineRule="atLeast"/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症狀</w:t>
      </w:r>
    </w:p>
    <w:p w:rsidR="008C1A6F" w:rsidRDefault="008C1A6F">
      <w:pPr>
        <w:numPr>
          <w:ilvl w:val="3"/>
          <w:numId w:val="1"/>
        </w:numPr>
        <w:spacing w:line="7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低血容量、低張性低血鈉症</w:t>
      </w:r>
      <w:r>
        <w:rPr>
          <w:rFonts w:ascii="微軟正黑體" w:eastAsia="微軟正黑體" w:hAnsi="微軟正黑體" w:cs="Calibri" w:hint="eastAsia"/>
          <w:sz w:val="22"/>
          <w:szCs w:val="22"/>
        </w:rPr>
        <w:t>(hypovolemic, hypotonic hyponatremia)</w:t>
      </w:r>
    </w:p>
    <w:p w:rsidR="008C1A6F" w:rsidRDefault="008C1A6F">
      <w:pPr>
        <w:numPr>
          <w:ilvl w:val="3"/>
          <w:numId w:val="1"/>
        </w:numPr>
        <w:spacing w:line="7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可能併發多尿</w:t>
      </w:r>
    </w:p>
    <w:p w:rsidR="008C1A6F" w:rsidRDefault="008C1A6F">
      <w:pPr>
        <w:numPr>
          <w:ilvl w:val="3"/>
          <w:numId w:val="1"/>
        </w:numPr>
        <w:spacing w:line="7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術後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10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天左右</w:t>
      </w:r>
      <w:r>
        <w:rPr>
          <w:rFonts w:ascii="微軟正黑體" w:eastAsia="微軟正黑體" w:hAnsi="微軟正黑體" w:cs="Calibri" w:hint="eastAsia"/>
          <w:sz w:val="22"/>
          <w:szCs w:val="22"/>
        </w:rPr>
        <w:t>發生</w:t>
      </w:r>
    </w:p>
    <w:p w:rsidR="008C1A6F" w:rsidRDefault="008C1A6F">
      <w:pPr>
        <w:numPr>
          <w:ilvl w:val="2"/>
          <w:numId w:val="1"/>
        </w:numPr>
        <w:spacing w:line="720" w:lineRule="atLeast"/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診斷</w:t>
      </w:r>
    </w:p>
    <w:p w:rsidR="008C1A6F" w:rsidRDefault="008C1A6F">
      <w:pPr>
        <w:numPr>
          <w:ilvl w:val="3"/>
          <w:numId w:val="1"/>
        </w:numPr>
        <w:spacing w:line="7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低血容</w:t>
      </w:r>
    </w:p>
    <w:p w:rsidR="008C1A6F" w:rsidRDefault="008C1A6F">
      <w:pPr>
        <w:numPr>
          <w:ilvl w:val="3"/>
          <w:numId w:val="1"/>
        </w:numPr>
        <w:spacing w:line="7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同時具備以下特徵：</w:t>
      </w:r>
    </w:p>
    <w:p w:rsidR="008C1A6F" w:rsidRDefault="008C1A6F">
      <w:pPr>
        <w:numPr>
          <w:ilvl w:val="4"/>
          <w:numId w:val="1"/>
        </w:numPr>
        <w:spacing w:line="7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鈉</w:t>
      </w:r>
      <w:r>
        <w:rPr>
          <w:rFonts w:ascii="微軟正黑體" w:eastAsia="微軟正黑體" w:hAnsi="微軟正黑體" w:cs="Calibri" w:hint="eastAsia"/>
          <w:sz w:val="22"/>
          <w:szCs w:val="22"/>
        </w:rPr>
        <w:t>濃度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低於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135 mEq/L</w:t>
      </w:r>
      <w:r>
        <w:rPr>
          <w:rFonts w:ascii="微軟正黑體" w:eastAsia="微軟正黑體" w:hAnsi="微軟正黑體" w:cs="Calibri" w:hint="eastAsia"/>
          <w:sz w:val="22"/>
          <w:szCs w:val="22"/>
        </w:rPr>
        <w:t>，伴隨</w:t>
      </w:r>
      <w:r>
        <w:rPr>
          <w:rFonts w:ascii="微軟正黑體" w:eastAsia="微軟正黑體" w:hAnsi="微軟正黑體" w:cs="Calibri" w:hint="eastAsia"/>
          <w:color w:val="ED7D31"/>
          <w:sz w:val="22"/>
          <w:szCs w:val="22"/>
        </w:rPr>
        <w:t>低血漿滲透壓</w:t>
      </w:r>
      <w:r>
        <w:rPr>
          <w:rFonts w:ascii="微軟正黑體" w:eastAsia="微軟正黑體" w:hAnsi="微軟正黑體" w:cs="Calibri" w:hint="eastAsia"/>
          <w:sz w:val="22"/>
          <w:szCs w:val="22"/>
        </w:rPr>
        <w:t>。</w:t>
      </w:r>
    </w:p>
    <w:p w:rsidR="008C1A6F" w:rsidRDefault="008C1A6F">
      <w:pPr>
        <w:numPr>
          <w:ilvl w:val="4"/>
          <w:numId w:val="1"/>
        </w:numPr>
        <w:spacing w:line="7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lastRenderedPageBreak/>
        <w:t>尿液滲透壓高於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100 mosmol/kg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(</w:t>
      </w:r>
      <w:r>
        <w:rPr>
          <w:rFonts w:ascii="微軟正黑體" w:eastAsia="微軟正黑體" w:hAnsi="微軟正黑體" w:cs="Calibri" w:hint="eastAsia"/>
          <w:sz w:val="22"/>
          <w:szCs w:val="22"/>
        </w:rPr>
        <w:t>常見高於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300 mosmol/kg</w:t>
      </w:r>
      <w:r>
        <w:rPr>
          <w:rFonts w:ascii="微軟正黑體" w:eastAsia="微軟正黑體" w:hAnsi="微軟正黑體" w:cs="Calibri" w:hint="eastAsia"/>
          <w:sz w:val="22"/>
          <w:szCs w:val="22"/>
        </w:rPr>
        <w:t>）。</w:t>
      </w:r>
    </w:p>
    <w:p w:rsidR="008C1A6F" w:rsidRDefault="008C1A6F">
      <w:pPr>
        <w:numPr>
          <w:ilvl w:val="3"/>
          <w:numId w:val="1"/>
        </w:numPr>
        <w:spacing w:line="7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ED7D31"/>
          <w:sz w:val="22"/>
          <w:szCs w:val="22"/>
        </w:rPr>
        <w:t>尿鈉</w:t>
      </w:r>
      <w:r>
        <w:rPr>
          <w:rFonts w:ascii="微軟正黑體" w:eastAsia="微軟正黑體" w:hAnsi="微軟正黑體" w:cs="Calibri" w:hint="eastAsia"/>
          <w:sz w:val="22"/>
          <w:szCs w:val="22"/>
        </w:rPr>
        <w:t>濃度通常高於</w:t>
      </w:r>
      <w:r>
        <w:rPr>
          <w:rFonts w:ascii="微軟正黑體" w:eastAsia="微軟正黑體" w:hAnsi="微軟正黑體" w:cs="Calibri" w:hint="eastAsia"/>
          <w:color w:val="ED7D31"/>
          <w:sz w:val="22"/>
          <w:szCs w:val="22"/>
        </w:rPr>
        <w:t>40mEq/L</w:t>
      </w:r>
      <w:r>
        <w:rPr>
          <w:rFonts w:ascii="微軟正黑體" w:eastAsia="微軟正黑體" w:hAnsi="微軟正黑體" w:cs="Calibri" w:hint="eastAsia"/>
          <w:sz w:val="22"/>
          <w:szCs w:val="22"/>
        </w:rPr>
        <w:t>。</w:t>
      </w:r>
    </w:p>
    <w:p w:rsidR="008C1A6F" w:rsidRDefault="008C1A6F">
      <w:pPr>
        <w:numPr>
          <w:ilvl w:val="3"/>
          <w:numId w:val="1"/>
        </w:numPr>
        <w:spacing w:line="7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CSW </w:t>
      </w:r>
      <w:r>
        <w:rPr>
          <w:rFonts w:ascii="微軟正黑體" w:eastAsia="微軟正黑體" w:hAnsi="微軟正黑體" w:cs="Calibri" w:hint="eastAsia"/>
          <w:sz w:val="22"/>
          <w:szCs w:val="22"/>
        </w:rPr>
        <w:t>的診斷可能還需要觀察補充輸液後是否會導致尿液稀釋以</w:t>
      </w:r>
      <w:r>
        <w:rPr>
          <w:rFonts w:ascii="微軟正黑體" w:eastAsia="微軟正黑體" w:hAnsi="微軟正黑體" w:cs="Calibri" w:hint="eastAsia"/>
          <w:sz w:val="22"/>
          <w:szCs w:val="22"/>
        </w:rPr>
        <w:t>rule out SIADH(</w:t>
      </w:r>
      <w:r>
        <w:rPr>
          <w:rFonts w:ascii="微軟正黑體" w:eastAsia="微軟正黑體" w:hAnsi="微軟正黑體" w:cs="Calibri" w:hint="eastAsia"/>
          <w:sz w:val="22"/>
          <w:szCs w:val="22"/>
        </w:rPr>
        <w:t>但不是絕對可以</w:t>
      </w:r>
      <w:r>
        <w:rPr>
          <w:rFonts w:ascii="微軟正黑體" w:eastAsia="微軟正黑體" w:hAnsi="微軟正黑體" w:cs="Calibri" w:hint="eastAsia"/>
          <w:sz w:val="22"/>
          <w:szCs w:val="22"/>
        </w:rPr>
        <w:t>rule out</w:t>
      </w:r>
      <w:r>
        <w:rPr>
          <w:rFonts w:ascii="微軟正黑體" w:eastAsia="微軟正黑體" w:hAnsi="微軟正黑體" w:cs="Calibri" w:hint="eastAsia"/>
          <w:sz w:val="22"/>
          <w:szCs w:val="22"/>
        </w:rPr>
        <w:t>，目前仍有爭議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8C1A6F" w:rsidRDefault="008C1A6F">
      <w:pPr>
        <w:numPr>
          <w:ilvl w:val="2"/>
          <w:numId w:val="1"/>
        </w:numPr>
        <w:spacing w:line="7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治療</w:t>
      </w:r>
    </w:p>
    <w:p w:rsidR="008C1A6F" w:rsidRDefault="008C1A6F">
      <w:pPr>
        <w:numPr>
          <w:ilvl w:val="3"/>
          <w:numId w:val="1"/>
        </w:numPr>
        <w:spacing w:line="7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近期開過刀或</w:t>
      </w:r>
      <w:r>
        <w:rPr>
          <w:rFonts w:ascii="微軟正黑體" w:eastAsia="微軟正黑體" w:hAnsi="微軟正黑體" w:cs="Calibri" w:hint="eastAsia"/>
          <w:sz w:val="22"/>
          <w:szCs w:val="22"/>
        </w:rPr>
        <w:t>SAH:</w:t>
      </w:r>
    </w:p>
    <w:p w:rsidR="008C1A6F" w:rsidRDefault="008C1A6F">
      <w:pPr>
        <w:numPr>
          <w:ilvl w:val="4"/>
          <w:numId w:val="1"/>
        </w:numPr>
        <w:spacing w:line="7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用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3% Normal Saline</w:t>
      </w:r>
      <w:r>
        <w:rPr>
          <w:rFonts w:ascii="微軟正黑體" w:eastAsia="微軟正黑體" w:hAnsi="微軟正黑體" w:cs="Calibri" w:hint="eastAsia"/>
          <w:sz w:val="22"/>
          <w:szCs w:val="22"/>
        </w:rPr>
        <w:t>迅速增加血鈉</w:t>
      </w:r>
    </w:p>
    <w:p w:rsidR="008C1A6F" w:rsidRDefault="008C1A6F">
      <w:pPr>
        <w:numPr>
          <w:ilvl w:val="3"/>
          <w:numId w:val="1"/>
        </w:numPr>
        <w:spacing w:line="7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如果需要同時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診斷加治療</w:t>
      </w:r>
      <w:r>
        <w:rPr>
          <w:rFonts w:ascii="微軟正黑體" w:eastAsia="微軟正黑體" w:hAnsi="微軟正黑體" w:cs="Calibri" w:hint="eastAsia"/>
          <w:sz w:val="22"/>
          <w:szCs w:val="22"/>
        </w:rPr>
        <w:t>可以試著用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isotonic saline</w:t>
      </w:r>
      <w:r>
        <w:rPr>
          <w:rFonts w:ascii="微軟正黑體" w:eastAsia="微軟正黑體" w:hAnsi="微軟正黑體" w:cs="Calibri" w:hint="eastAsia"/>
          <w:sz w:val="22"/>
          <w:szCs w:val="22"/>
        </w:rPr>
        <w:t>。理論上是可以抑制</w:t>
      </w:r>
      <w:r>
        <w:rPr>
          <w:rFonts w:ascii="微軟正黑體" w:eastAsia="微軟正黑體" w:hAnsi="微軟正黑體" w:cs="Calibri" w:hint="eastAsia"/>
          <w:sz w:val="22"/>
          <w:szCs w:val="22"/>
        </w:rPr>
        <w:t>ADH</w:t>
      </w:r>
      <w:r>
        <w:rPr>
          <w:rFonts w:ascii="微軟正黑體" w:eastAsia="微軟正黑體" w:hAnsi="微軟正黑體" w:cs="Calibri" w:hint="eastAsia"/>
          <w:sz w:val="22"/>
          <w:szCs w:val="22"/>
        </w:rPr>
        <w:t>釋放進而排出多餘的水，如果同時有</w:t>
      </w:r>
      <w:r>
        <w:rPr>
          <w:rFonts w:ascii="微軟正黑體" w:eastAsia="微軟正黑體" w:hAnsi="微軟正黑體" w:cs="Calibri" w:hint="eastAsia"/>
          <w:sz w:val="22"/>
          <w:szCs w:val="22"/>
        </w:rPr>
        <w:t>SIADH</w:t>
      </w:r>
      <w:r>
        <w:rPr>
          <w:rFonts w:ascii="微軟正黑體" w:eastAsia="微軟正黑體" w:hAnsi="微軟正黑體" w:cs="Calibri" w:hint="eastAsia"/>
          <w:sz w:val="22"/>
          <w:szCs w:val="22"/>
        </w:rPr>
        <w:t>的病患通常可以讓尿液濃度由太高恢復正常；反之如果單純為</w:t>
      </w:r>
      <w:r>
        <w:rPr>
          <w:rFonts w:ascii="微軟正黑體" w:eastAsia="微軟正黑體" w:hAnsi="微軟正黑體" w:cs="Calibri" w:hint="eastAsia"/>
          <w:sz w:val="22"/>
          <w:szCs w:val="22"/>
        </w:rPr>
        <w:t>CSW</w:t>
      </w:r>
      <w:r>
        <w:rPr>
          <w:rFonts w:ascii="微軟正黑體" w:eastAsia="微軟正黑體" w:hAnsi="微軟正黑體" w:cs="Calibri" w:hint="eastAsia"/>
          <w:sz w:val="22"/>
          <w:szCs w:val="22"/>
        </w:rPr>
        <w:t>患者則可能產生過度稀釋的尿液。</w:t>
      </w:r>
    </w:p>
    <w:p w:rsidR="008C1A6F" w:rsidRDefault="008C1A6F">
      <w:pPr>
        <w:numPr>
          <w:ilvl w:val="3"/>
          <w:numId w:val="1"/>
        </w:numPr>
        <w:spacing w:line="7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給予口服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鹽片</w:t>
      </w:r>
      <w:r>
        <w:rPr>
          <w:rFonts w:ascii="微軟正黑體" w:eastAsia="微軟正黑體" w:hAnsi="微軟正黑體" w:cs="Calibri" w:hint="eastAsia"/>
          <w:sz w:val="22"/>
          <w:szCs w:val="22"/>
        </w:rPr>
        <w:t>緩解症狀</w:t>
      </w:r>
    </w:p>
    <w:p w:rsidR="008C1A6F" w:rsidRDefault="008C1A6F">
      <w:pPr>
        <w:numPr>
          <w:ilvl w:val="3"/>
          <w:numId w:val="1"/>
        </w:numPr>
        <w:spacing w:line="7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fludrocortisone</w:t>
      </w:r>
      <w:r>
        <w:rPr>
          <w:rFonts w:ascii="微軟正黑體" w:eastAsia="微軟正黑體" w:hAnsi="微軟正黑體" w:cs="Calibri" w:hint="eastAsia"/>
          <w:sz w:val="22"/>
          <w:szCs w:val="22"/>
        </w:rPr>
        <w:t>亦有緩解功效</w:t>
      </w:r>
    </w:p>
    <w:p w:rsidR="008C1A6F" w:rsidRDefault="008C1A6F">
      <w:pPr>
        <w:numPr>
          <w:ilvl w:val="3"/>
          <w:numId w:val="1"/>
        </w:numPr>
        <w:spacing w:line="7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限水無效</w:t>
      </w:r>
      <w:r>
        <w:rPr>
          <w:rFonts w:ascii="微軟正黑體" w:eastAsia="微軟正黑體" w:hAnsi="微軟正黑體" w:cs="Calibri" w:hint="eastAsia"/>
          <w:sz w:val="22"/>
          <w:szCs w:val="22"/>
        </w:rPr>
        <w:t>!(</w:t>
      </w:r>
      <w:r>
        <w:rPr>
          <w:rFonts w:ascii="微軟正黑體" w:eastAsia="微軟正黑體" w:hAnsi="微軟正黑體" w:cs="Calibri" w:hint="eastAsia"/>
          <w:sz w:val="22"/>
          <w:szCs w:val="22"/>
        </w:rPr>
        <w:t>但同樣可以診斷用，如果病人是</w:t>
      </w:r>
      <w:r>
        <w:rPr>
          <w:rFonts w:ascii="微軟正黑體" w:eastAsia="微軟正黑體" w:hAnsi="微軟正黑體" w:cs="Calibri" w:hint="eastAsia"/>
          <w:sz w:val="22"/>
          <w:szCs w:val="22"/>
        </w:rPr>
        <w:t>SIADH</w:t>
      </w:r>
      <w:r>
        <w:rPr>
          <w:rFonts w:ascii="微軟正黑體" w:eastAsia="微軟正黑體" w:hAnsi="微軟正黑體" w:cs="Calibri" w:hint="eastAsia"/>
          <w:sz w:val="22"/>
          <w:szCs w:val="22"/>
        </w:rPr>
        <w:t>可兼治療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8C1A6F" w:rsidRDefault="008C1A6F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 </w:t>
      </w:r>
    </w:p>
    <w:p w:rsidR="008C1A6F" w:rsidRDefault="008C1A6F">
      <w:pPr>
        <w:numPr>
          <w:ilvl w:val="1"/>
          <w:numId w:val="2"/>
        </w:numPr>
        <w:textAlignment w:val="center"/>
        <w:rPr>
          <w:rFonts w:ascii="Calibri" w:hAnsi="Calibri" w:cs="Calibri" w:hint="eastAsia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SIADH</w:t>
      </w:r>
    </w:p>
    <w:p w:rsidR="008C1A6F" w:rsidRDefault="008C1A6F">
      <w:pPr>
        <w:numPr>
          <w:ilvl w:val="2"/>
          <w:numId w:val="2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定義</w:t>
      </w:r>
    </w:p>
    <w:p w:rsidR="008C1A6F" w:rsidRDefault="008C1A6F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SIADH </w:t>
      </w:r>
      <w:r>
        <w:rPr>
          <w:rFonts w:ascii="微軟正黑體" w:eastAsia="微軟正黑體" w:hAnsi="微軟正黑體" w:cs="Calibri" w:hint="eastAsia"/>
          <w:sz w:val="22"/>
          <w:szCs w:val="22"/>
        </w:rPr>
        <w:t>是導致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等容積低滲透壓之低血鈉症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sz w:val="22"/>
          <w:szCs w:val="22"/>
        </w:rPr>
        <w:t>euvolemic hypotonic hyponatremia</w:t>
      </w:r>
      <w:r>
        <w:rPr>
          <w:rFonts w:ascii="微軟正黑體" w:eastAsia="微軟正黑體" w:hAnsi="微軟正黑體" w:cs="Calibri" w:hint="eastAsia"/>
          <w:sz w:val="22"/>
          <w:szCs w:val="22"/>
        </w:rPr>
        <w:t>）最常見的原因。它是一種內分泌疾病，特徵為抗利尿激素（</w:t>
      </w:r>
      <w:r>
        <w:rPr>
          <w:rFonts w:ascii="微軟正黑體" w:eastAsia="微軟正黑體" w:hAnsi="微軟正黑體" w:cs="Calibri" w:hint="eastAsia"/>
          <w:sz w:val="22"/>
          <w:szCs w:val="22"/>
        </w:rPr>
        <w:t>ADH</w:t>
      </w:r>
      <w:r>
        <w:rPr>
          <w:rFonts w:ascii="微軟正黑體" w:eastAsia="微軟正黑體" w:hAnsi="微軟正黑體" w:cs="Calibri" w:hint="eastAsia"/>
          <w:sz w:val="22"/>
          <w:szCs w:val="22"/>
        </w:rPr>
        <w:t>）分泌過多或作用異常，導致腎臟過度保留水分，從而稀釋血液中的鈉濃度。</w:t>
      </w:r>
    </w:p>
    <w:p w:rsidR="008C1A6F" w:rsidRDefault="008C1A6F">
      <w:pPr>
        <w:numPr>
          <w:ilvl w:val="2"/>
          <w:numId w:val="2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機制</w:t>
      </w:r>
    </w:p>
    <w:p w:rsidR="008C1A6F" w:rsidRDefault="008C1A6F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腦垂體分泌過多</w:t>
      </w:r>
      <w:r>
        <w:rPr>
          <w:rFonts w:ascii="微軟正黑體" w:eastAsia="微軟正黑體" w:hAnsi="微軟正黑體" w:cs="Calibri" w:hint="eastAsia"/>
          <w:sz w:val="22"/>
          <w:szCs w:val="22"/>
        </w:rPr>
        <w:t>：例如由感染、藥物（像是抗精神病藥物或抗癲癇藥）引發。</w:t>
      </w:r>
    </w:p>
    <w:p w:rsidR="008C1A6F" w:rsidRDefault="008C1A6F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異位分泌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(Ectopic ADH)</w:t>
      </w:r>
      <w:r>
        <w:rPr>
          <w:rFonts w:ascii="微軟正黑體" w:eastAsia="微軟正黑體" w:hAnsi="微軟正黑體" w:cs="Calibri" w:hint="eastAsia"/>
          <w:sz w:val="22"/>
          <w:szCs w:val="22"/>
        </w:rPr>
        <w:t>：例如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小細胞肺癌</w:t>
      </w:r>
      <w:r>
        <w:rPr>
          <w:rFonts w:ascii="微軟正黑體" w:eastAsia="微軟正黑體" w:hAnsi="微軟正黑體" w:cs="Calibri" w:hint="eastAsia"/>
          <w:sz w:val="22"/>
          <w:szCs w:val="22"/>
        </w:rPr>
        <w:t>等惡性腫瘤異位產生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ADH</w:t>
      </w:r>
      <w:r>
        <w:rPr>
          <w:rFonts w:ascii="微軟正黑體" w:eastAsia="微軟正黑體" w:hAnsi="微軟正黑體" w:cs="Calibri" w:hint="eastAsia"/>
          <w:sz w:val="22"/>
          <w:szCs w:val="22"/>
        </w:rPr>
        <w:t>。</w:t>
      </w:r>
    </w:p>
    <w:p w:rsidR="008C1A6F" w:rsidRDefault="008C1A6F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腎臟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 ADH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受體異常激活</w:t>
      </w:r>
      <w:r>
        <w:rPr>
          <w:rFonts w:ascii="微軟正黑體" w:eastAsia="微軟正黑體" w:hAnsi="微軟正黑體" w:cs="Calibri" w:hint="eastAsia"/>
          <w:sz w:val="22"/>
          <w:szCs w:val="22"/>
        </w:rPr>
        <w:t>：如</w:t>
      </w:r>
      <w:r>
        <w:rPr>
          <w:rFonts w:ascii="微軟正黑體" w:eastAsia="微軟正黑體" w:hAnsi="微軟正黑體" w:cs="Calibri" w:hint="eastAsia"/>
          <w:sz w:val="22"/>
          <w:szCs w:val="22"/>
        </w:rPr>
        <w:t>X-linked recessive</w:t>
      </w:r>
      <w:r>
        <w:rPr>
          <w:rFonts w:ascii="微軟正黑體" w:eastAsia="微軟正黑體" w:hAnsi="微軟正黑體" w:cs="Calibri" w:hint="eastAsia"/>
          <w:sz w:val="22"/>
          <w:szCs w:val="22"/>
        </w:rPr>
        <w:t>突變導致的腎源性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SIADH(V2 receptor</w:t>
      </w:r>
      <w:r>
        <w:rPr>
          <w:rFonts w:ascii="微軟正黑體" w:eastAsia="微軟正黑體" w:hAnsi="微軟正黑體" w:cs="Calibri" w:hint="eastAsia"/>
          <w:sz w:val="22"/>
          <w:szCs w:val="22"/>
        </w:rPr>
        <w:t>突變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，使腎臟對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ADH </w:t>
      </w:r>
      <w:r>
        <w:rPr>
          <w:rFonts w:ascii="微軟正黑體" w:eastAsia="微軟正黑體" w:hAnsi="微軟正黑體" w:cs="Calibri" w:hint="eastAsia"/>
          <w:sz w:val="22"/>
          <w:szCs w:val="22"/>
        </w:rPr>
        <w:t>的反應增強。</w:t>
      </w:r>
    </w:p>
    <w:p w:rsidR="008C1A6F" w:rsidRDefault="008C1A6F">
      <w:pPr>
        <w:numPr>
          <w:ilvl w:val="2"/>
          <w:numId w:val="2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症狀</w:t>
      </w:r>
    </w:p>
    <w:p w:rsidR="008C1A6F" w:rsidRDefault="008C1A6F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低血鈉症</w:t>
      </w:r>
    </w:p>
    <w:p w:rsidR="008C1A6F" w:rsidRDefault="008C1A6F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頭痛</w:t>
      </w:r>
    </w:p>
    <w:p w:rsidR="008C1A6F" w:rsidRDefault="008C1A6F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噁心想吐</w:t>
      </w:r>
    </w:p>
    <w:p w:rsidR="008C1A6F" w:rsidRDefault="008C1A6F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意識混亂</w:t>
      </w:r>
    </w:p>
    <w:p w:rsidR="008C1A6F" w:rsidRDefault="008C1A6F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肌肉無力</w:t>
      </w:r>
    </w:p>
    <w:p w:rsidR="008C1A6F" w:rsidRDefault="008C1A6F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以上也是常見水中毒症狀</w:t>
      </w:r>
    </w:p>
    <w:p w:rsidR="008C1A6F" w:rsidRDefault="008C1A6F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如果血鈉是逐漸下降的不一定會有臨床症狀</w:t>
      </w:r>
      <w:r>
        <w:rPr>
          <w:rFonts w:ascii="微軟正黑體" w:eastAsia="微軟正黑體" w:hAnsi="微軟正黑體" w:cs="Calibri" w:hint="eastAsia"/>
          <w:sz w:val="22"/>
          <w:szCs w:val="22"/>
        </w:rPr>
        <w:t>!</w:t>
      </w:r>
    </w:p>
    <w:p w:rsidR="008C1A6F" w:rsidRDefault="008C1A6F">
      <w:pPr>
        <w:numPr>
          <w:ilvl w:val="2"/>
          <w:numId w:val="2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診斷</w:t>
      </w:r>
    </w:p>
    <w:p w:rsidR="008C1A6F" w:rsidRDefault="008C1A6F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低血容</w:t>
      </w:r>
    </w:p>
    <w:p w:rsidR="008C1A6F" w:rsidRDefault="008C1A6F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同時具備以下特徵：</w:t>
      </w:r>
    </w:p>
    <w:p w:rsidR="008C1A6F" w:rsidRDefault="008C1A6F">
      <w:pPr>
        <w:numPr>
          <w:ilvl w:val="4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鈉</w:t>
      </w:r>
      <w:r>
        <w:rPr>
          <w:rFonts w:ascii="微軟正黑體" w:eastAsia="微軟正黑體" w:hAnsi="微軟正黑體" w:cs="Calibri" w:hint="eastAsia"/>
          <w:sz w:val="22"/>
          <w:szCs w:val="22"/>
        </w:rPr>
        <w:t>濃度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低於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135 mEq/L</w:t>
      </w:r>
      <w:r>
        <w:rPr>
          <w:rFonts w:ascii="微軟正黑體" w:eastAsia="微軟正黑體" w:hAnsi="微軟正黑體" w:cs="Calibri" w:hint="eastAsia"/>
          <w:sz w:val="22"/>
          <w:szCs w:val="22"/>
        </w:rPr>
        <w:t>，伴隨</w:t>
      </w:r>
      <w:r>
        <w:rPr>
          <w:rFonts w:ascii="微軟正黑體" w:eastAsia="微軟正黑體" w:hAnsi="微軟正黑體" w:cs="Calibri" w:hint="eastAsia"/>
          <w:color w:val="ED7D31"/>
          <w:sz w:val="22"/>
          <w:szCs w:val="22"/>
        </w:rPr>
        <w:t>低血漿滲透壓</w:t>
      </w:r>
      <w:r>
        <w:rPr>
          <w:rFonts w:ascii="微軟正黑體" w:eastAsia="微軟正黑體" w:hAnsi="微軟正黑體" w:cs="Calibri" w:hint="eastAsia"/>
          <w:sz w:val="22"/>
          <w:szCs w:val="22"/>
        </w:rPr>
        <w:t>。</w:t>
      </w:r>
    </w:p>
    <w:p w:rsidR="008C1A6F" w:rsidRDefault="008C1A6F">
      <w:pPr>
        <w:numPr>
          <w:ilvl w:val="4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尿液滲透壓高於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100 mosmol/kg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(</w:t>
      </w:r>
      <w:r>
        <w:rPr>
          <w:rFonts w:ascii="微軟正黑體" w:eastAsia="微軟正黑體" w:hAnsi="微軟正黑體" w:cs="Calibri" w:hint="eastAsia"/>
          <w:sz w:val="22"/>
          <w:szCs w:val="22"/>
        </w:rPr>
        <w:t>常見高於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300 mosmol/kg</w:t>
      </w:r>
      <w:r>
        <w:rPr>
          <w:rFonts w:ascii="微軟正黑體" w:eastAsia="微軟正黑體" w:hAnsi="微軟正黑體" w:cs="Calibri" w:hint="eastAsia"/>
          <w:sz w:val="22"/>
          <w:szCs w:val="22"/>
        </w:rPr>
        <w:t>）。</w:t>
      </w:r>
    </w:p>
    <w:p w:rsidR="008C1A6F" w:rsidRDefault="008C1A6F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ED7D31"/>
          <w:sz w:val="22"/>
          <w:szCs w:val="22"/>
        </w:rPr>
        <w:t>尿鈉</w:t>
      </w:r>
      <w:r>
        <w:rPr>
          <w:rFonts w:ascii="微軟正黑體" w:eastAsia="微軟正黑體" w:hAnsi="微軟正黑體" w:cs="Calibri" w:hint="eastAsia"/>
          <w:sz w:val="22"/>
          <w:szCs w:val="22"/>
        </w:rPr>
        <w:t>濃度通常高於</w:t>
      </w:r>
      <w:r>
        <w:rPr>
          <w:rFonts w:ascii="微軟正黑體" w:eastAsia="微軟正黑體" w:hAnsi="微軟正黑體" w:cs="Calibri" w:hint="eastAsia"/>
          <w:color w:val="ED7D31"/>
          <w:sz w:val="22"/>
          <w:szCs w:val="22"/>
        </w:rPr>
        <w:t>40mEq/L</w:t>
      </w:r>
      <w:r>
        <w:rPr>
          <w:rFonts w:ascii="微軟正黑體" w:eastAsia="微軟正黑體" w:hAnsi="微軟正黑體" w:cs="Calibri" w:hint="eastAsia"/>
          <w:sz w:val="22"/>
          <w:szCs w:val="22"/>
        </w:rPr>
        <w:t>。</w:t>
      </w:r>
    </w:p>
    <w:p w:rsidR="008C1A6F" w:rsidRDefault="008C1A6F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CSW </w:t>
      </w:r>
      <w:r>
        <w:rPr>
          <w:rFonts w:ascii="微軟正黑體" w:eastAsia="微軟正黑體" w:hAnsi="微軟正黑體" w:cs="Calibri" w:hint="eastAsia"/>
          <w:sz w:val="22"/>
          <w:szCs w:val="22"/>
        </w:rPr>
        <w:t>的診斷可能還需要觀察補充輸液後是否會導致尿液稀釋以</w:t>
      </w:r>
      <w:r>
        <w:rPr>
          <w:rFonts w:ascii="微軟正黑體" w:eastAsia="微軟正黑體" w:hAnsi="微軟正黑體" w:cs="Calibri" w:hint="eastAsia"/>
          <w:sz w:val="22"/>
          <w:szCs w:val="22"/>
        </w:rPr>
        <w:t>rule out SIADH(</w:t>
      </w:r>
      <w:r>
        <w:rPr>
          <w:rFonts w:ascii="微軟正黑體" w:eastAsia="微軟正黑體" w:hAnsi="微軟正黑體" w:cs="Calibri" w:hint="eastAsia"/>
          <w:sz w:val="22"/>
          <w:szCs w:val="22"/>
        </w:rPr>
        <w:t>但不是絕對可以</w:t>
      </w:r>
      <w:r>
        <w:rPr>
          <w:rFonts w:ascii="微軟正黑體" w:eastAsia="微軟正黑體" w:hAnsi="微軟正黑體" w:cs="Calibri" w:hint="eastAsia"/>
          <w:sz w:val="22"/>
          <w:szCs w:val="22"/>
        </w:rPr>
        <w:t>rule out</w:t>
      </w:r>
      <w:r>
        <w:rPr>
          <w:rFonts w:ascii="微軟正黑體" w:eastAsia="微軟正黑體" w:hAnsi="微軟正黑體" w:cs="Calibri" w:hint="eastAsia"/>
          <w:sz w:val="22"/>
          <w:szCs w:val="22"/>
        </w:rPr>
        <w:t>，目前仍有爭議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8C1A6F" w:rsidRDefault="008C1A6F">
      <w:pPr>
        <w:numPr>
          <w:ilvl w:val="2"/>
          <w:numId w:val="2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治療</w:t>
      </w:r>
    </w:p>
    <w:p w:rsidR="008C1A6F" w:rsidRDefault="008C1A6F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限水</w:t>
      </w:r>
      <w:r>
        <w:rPr>
          <w:rFonts w:ascii="微軟正黑體" w:eastAsia="微軟正黑體" w:hAnsi="微軟正黑體" w:cs="Calibri" w:hint="eastAsia"/>
          <w:sz w:val="22"/>
          <w:szCs w:val="22"/>
        </w:rPr>
        <w:t>!</w:t>
      </w:r>
    </w:p>
    <w:p w:rsidR="008C1A6F" w:rsidRDefault="008C1A6F">
      <w:pPr>
        <w:numPr>
          <w:ilvl w:val="4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一天淨攝取量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500ml </w:t>
      </w:r>
      <w:r>
        <w:rPr>
          <w:rFonts w:ascii="微軟正黑體" w:eastAsia="微軟正黑體" w:hAnsi="微軟正黑體" w:cs="Calibri" w:hint="eastAsia"/>
          <w:sz w:val="22"/>
          <w:szCs w:val="22"/>
        </w:rPr>
        <w:t>或以下</w:t>
      </w:r>
    </w:p>
    <w:p w:rsidR="008C1A6F" w:rsidRDefault="008C1A6F">
      <w:pPr>
        <w:numPr>
          <w:ilvl w:val="4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也可以算</w:t>
      </w:r>
      <w:r>
        <w:rPr>
          <w:rFonts w:ascii="微軟正黑體" w:eastAsia="微軟正黑體" w:hAnsi="微軟正黑體" w:cs="Calibri" w:hint="eastAsia"/>
          <w:sz w:val="22"/>
          <w:szCs w:val="22"/>
        </w:rPr>
        <w:t>I/O, O&gt;=I</w:t>
      </w:r>
      <w:r>
        <w:rPr>
          <w:rFonts w:ascii="微軟正黑體" w:eastAsia="微軟正黑體" w:hAnsi="微軟正黑體" w:cs="Calibri" w:hint="eastAsia"/>
          <w:sz w:val="22"/>
          <w:szCs w:val="22"/>
        </w:rPr>
        <w:t>可接受</w:t>
      </w:r>
    </w:p>
    <w:p w:rsidR="008C1A6F" w:rsidRDefault="008C1A6F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</w:t>
      </w:r>
      <w:r>
        <w:rPr>
          <w:rFonts w:ascii="微軟正黑體" w:eastAsia="微軟正黑體" w:hAnsi="微軟正黑體" w:cs="Calibri" w:hint="eastAsia"/>
          <w:color w:val="E84C22"/>
          <w:sz w:val="22"/>
          <w:szCs w:val="22"/>
        </w:rPr>
        <w:t>Na&lt;130meq/L</w:t>
      </w:r>
      <w:r>
        <w:rPr>
          <w:rFonts w:ascii="微軟正黑體" w:eastAsia="微軟正黑體" w:hAnsi="微軟正黑體" w:cs="Calibri" w:hint="eastAsia"/>
          <w:color w:val="E84C22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sz w:val="22"/>
          <w:szCs w:val="22"/>
        </w:rPr>
        <w:t>給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3% Saline</w:t>
      </w:r>
      <w:r>
        <w:rPr>
          <w:rFonts w:ascii="微軟正黑體" w:eastAsia="微軟正黑體" w:hAnsi="微軟正黑體" w:cs="Calibri" w:hint="eastAsia"/>
          <w:sz w:val="22"/>
          <w:szCs w:val="22"/>
        </w:rPr>
        <w:t>直到</w:t>
      </w:r>
      <w:r>
        <w:rPr>
          <w:rFonts w:ascii="Cambria Math" w:eastAsia="Microsoft JhengHei Light" w:hAnsi="Cambria Math" w:cs="Cambria Math"/>
          <w:color w:val="ED7D31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ED7D31"/>
          <w:sz w:val="22"/>
          <w:szCs w:val="22"/>
        </w:rPr>
        <w:t>130meq</w:t>
      </w:r>
      <w:r>
        <w:rPr>
          <w:rFonts w:ascii="微軟正黑體" w:eastAsia="微軟正黑體" w:hAnsi="微軟正黑體" w:cs="Calibri" w:hint="eastAsia"/>
          <w:color w:val="ED7D31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sz w:val="22"/>
          <w:szCs w:val="22"/>
        </w:rPr>
        <w:t>注意一天只能上升</w:t>
      </w:r>
      <w:r>
        <w:rPr>
          <w:rFonts w:ascii="微軟正黑體" w:eastAsia="微軟正黑體" w:hAnsi="微軟正黑體" w:cs="Calibri" w:hint="eastAsia"/>
          <w:color w:val="E84C22"/>
          <w:sz w:val="22"/>
          <w:szCs w:val="22"/>
        </w:rPr>
        <w:t>8-12meq/L</w:t>
      </w:r>
      <w:r>
        <w:rPr>
          <w:rFonts w:ascii="微軟正黑體" w:eastAsia="微軟正黑體" w:hAnsi="微軟正黑體" w:cs="Calibri" w:hint="eastAsia"/>
          <w:sz w:val="22"/>
          <w:szCs w:val="22"/>
        </w:rPr>
        <w:t>，不然會造成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central pontine myelinolysis</w:t>
      </w:r>
    </w:p>
    <w:p w:rsidR="008C1A6F" w:rsidRDefault="008C1A6F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住院病患才能給予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Vaptan</w:t>
      </w:r>
      <w:r>
        <w:rPr>
          <w:rFonts w:ascii="微軟正黑體" w:eastAsia="微軟正黑體" w:hAnsi="微軟正黑體" w:cs="Calibri" w:hint="eastAsia"/>
          <w:sz w:val="22"/>
          <w:szCs w:val="22"/>
        </w:rPr>
        <w:t>類藥物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可以監控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，給完需暫停限水</w:t>
      </w:r>
      <w:r>
        <w:rPr>
          <w:rFonts w:ascii="微軟正黑體" w:eastAsia="微軟正黑體" w:hAnsi="微軟正黑體" w:cs="Calibri" w:hint="eastAsia"/>
          <w:sz w:val="22"/>
          <w:szCs w:val="22"/>
        </w:rPr>
        <w:t>24</w:t>
      </w:r>
      <w:r>
        <w:rPr>
          <w:rFonts w:ascii="微軟正黑體" w:eastAsia="微軟正黑體" w:hAnsi="微軟正黑體" w:cs="Calibri" w:hint="eastAsia"/>
          <w:sz w:val="22"/>
          <w:szCs w:val="22"/>
        </w:rPr>
        <w:t>小時</w:t>
      </w:r>
      <w:r>
        <w:rPr>
          <w:rFonts w:ascii="微軟正黑體" w:eastAsia="微軟正黑體" w:hAnsi="微軟正黑體" w:cs="Calibri" w:hint="eastAsia"/>
          <w:sz w:val="22"/>
          <w:szCs w:val="22"/>
        </w:rPr>
        <w:t>or</w:t>
      </w:r>
      <w:r>
        <w:rPr>
          <w:rFonts w:ascii="微軟正黑體" w:eastAsia="微軟正黑體" w:hAnsi="微軟正黑體" w:cs="Calibri" w:hint="eastAsia"/>
          <w:sz w:val="22"/>
          <w:szCs w:val="22"/>
        </w:rPr>
        <w:t>以上避免病人</w:t>
      </w:r>
      <w:r>
        <w:rPr>
          <w:rFonts w:ascii="微軟正黑體" w:eastAsia="微軟正黑體" w:hAnsi="微軟正黑體" w:cs="Calibri" w:hint="eastAsia"/>
          <w:sz w:val="22"/>
          <w:szCs w:val="22"/>
        </w:rPr>
        <w:t>fluid depletion</w:t>
      </w:r>
      <w:r>
        <w:rPr>
          <w:rFonts w:ascii="微軟正黑體" w:eastAsia="微軟正黑體" w:hAnsi="微軟正黑體" w:cs="Calibri" w:hint="eastAsia"/>
          <w:sz w:val="22"/>
          <w:szCs w:val="22"/>
        </w:rPr>
        <w:t>過頭</w:t>
      </w:r>
    </w:p>
    <w:p w:rsidR="008C1A6F" w:rsidRDefault="008C1A6F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Demeclocycline 150-300mg</w:t>
      </w:r>
      <w:r>
        <w:rPr>
          <w:rFonts w:ascii="微軟正黑體" w:eastAsia="微軟正黑體" w:hAnsi="微軟正黑體" w:cs="Calibri" w:hint="eastAsia"/>
          <w:sz w:val="22"/>
          <w:szCs w:val="22"/>
        </w:rPr>
        <w:t>口服</w:t>
      </w:r>
    </w:p>
    <w:p w:rsidR="008C1A6F" w:rsidRDefault="008C1A6F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Fludrocortisone 0.05-0.2mg</w:t>
      </w:r>
      <w:r>
        <w:rPr>
          <w:rFonts w:ascii="微軟正黑體" w:eastAsia="微軟正黑體" w:hAnsi="微軟正黑體" w:cs="Calibri" w:hint="eastAsia"/>
          <w:sz w:val="22"/>
          <w:szCs w:val="22"/>
        </w:rPr>
        <w:t>口服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小心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高血壓、低血鉀</w:t>
      </w:r>
      <w:r>
        <w:rPr>
          <w:rFonts w:ascii="微軟正黑體" w:eastAsia="微軟正黑體" w:hAnsi="微軟正黑體" w:cs="Calibri" w:hint="eastAsia"/>
          <w:sz w:val="22"/>
          <w:szCs w:val="22"/>
        </w:rPr>
        <w:t>等副作用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8C1A6F" w:rsidRDefault="008C1A6F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/>
          <w:sz w:val="32"/>
          <w:szCs w:val="3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 </w:t>
      </w:r>
    </w:p>
    <w:p w:rsidR="008C1A6F" w:rsidRDefault="008C1A6F">
      <w:pPr>
        <w:numPr>
          <w:ilvl w:val="1"/>
          <w:numId w:val="3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Reference:</w:t>
      </w:r>
    </w:p>
    <w:p w:rsidR="008C1A6F" w:rsidRDefault="008C1A6F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Connolly ES, Rabinstein AA, Carhuapoma JR, et al. Guidelines for the management of aneurysmal subarachnoid hemorrhage: a guideline for healthcare professionals from the American Heart Association/american Stroke Association. Stroke. 2012; 43(6): p.1711-1737. doi: </w:t>
      </w:r>
      <w:hyperlink r:id="rId7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10.1161/STR.0b013e3182587839</w:t>
        </w:r>
      </w:hyperlink>
    </w:p>
    <w:p w:rsidR="008C1A6F" w:rsidRDefault="008C1A6F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Bettinelli, A., Longoni, L., Tammaro, F., Far</w:t>
      </w:r>
      <w:r>
        <w:rPr>
          <w:rFonts w:ascii="微軟正黑體" w:eastAsia="微軟正黑體" w:hAnsi="微軟正黑體" w:cs="Calibri" w:hint="eastAsia"/>
          <w:sz w:val="22"/>
          <w:szCs w:val="22"/>
        </w:rPr>
        <w:t>é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, P. B., Garzoni, L., &amp; Bianchetti, M. G. (2012). Renal salt-wasting syndrome in children with intracranial disorders. </w:t>
      </w:r>
      <w:r>
        <w:rPr>
          <w:rFonts w:ascii="微軟正黑體" w:eastAsia="微軟正黑體" w:hAnsi="微軟正黑體" w:cs="Calibri" w:hint="eastAsia"/>
          <w:i/>
          <w:iCs/>
          <w:sz w:val="22"/>
          <w:szCs w:val="22"/>
        </w:rPr>
        <w:t>Pediatric Nephrology, 27</w:t>
      </w:r>
      <w:r>
        <w:rPr>
          <w:rFonts w:ascii="微軟正黑體" w:eastAsia="微軟正黑體" w:hAnsi="微軟正黑體" w:cs="Calibri" w:hint="eastAsia"/>
          <w:sz w:val="22"/>
          <w:szCs w:val="22"/>
        </w:rPr>
        <w:t>(5), 733</w:t>
      </w:r>
      <w:r>
        <w:rPr>
          <w:rFonts w:ascii="微軟正黑體" w:eastAsia="微軟正黑體" w:hAnsi="微軟正黑體" w:cs="Calibri" w:hint="eastAsia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739. </w:t>
      </w:r>
      <w:hyperlink r:id="rId8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https://doi.org/10.1007/s00467-011-2010-5</w:t>
        </w:r>
      </w:hyperlink>
    </w:p>
    <w:p w:rsidR="008C1A6F" w:rsidRDefault="008C1A6F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Spatenkova, V., Bradac, O., de Lacy, P., &amp; Skrabalek, P. (2015). Polyuria in relation to dysnatraemias in neurocritical care. </w:t>
      </w:r>
      <w:r>
        <w:rPr>
          <w:rFonts w:ascii="微軟正黑體" w:eastAsia="微軟正黑體" w:hAnsi="微軟正黑體" w:cs="Calibri" w:hint="eastAsia"/>
          <w:i/>
          <w:iCs/>
          <w:sz w:val="22"/>
          <w:szCs w:val="22"/>
        </w:rPr>
        <w:t>British Journal of Neurosurgery, 29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(5), 650. </w:t>
      </w:r>
      <w:hyperlink r:id="rId9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https://doi.org/10.3109/02688697.2015.1070285</w:t>
        </w:r>
      </w:hyperlink>
    </w:p>
    <w:p w:rsidR="008C1A6F" w:rsidRDefault="008C1A6F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Singh, S., Bohn, D., Carlotti, A. P., Cusimano, M., Rutka, J. T., &amp; Halperin, M. L. (2002). Cerebral salt wasting: Truths, fallacies, theories, and challenges. </w:t>
      </w:r>
      <w:r>
        <w:rPr>
          <w:rFonts w:ascii="微軟正黑體" w:eastAsia="微軟正黑體" w:hAnsi="微軟正黑體" w:cs="Calibri" w:hint="eastAsia"/>
          <w:i/>
          <w:iCs/>
          <w:sz w:val="22"/>
          <w:szCs w:val="22"/>
        </w:rPr>
        <w:t>Critical Care Medicine, 30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(11), 2575. </w:t>
      </w:r>
      <w:hyperlink r:id="rId10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https://doi.org/10.1097/01.CCM.0000035017.22495.55</w:t>
        </w:r>
      </w:hyperlink>
    </w:p>
    <w:p w:rsidR="008C1A6F" w:rsidRDefault="008C1A6F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Tenny S, Thorell W. Cerebral Salt Wasting Syndrome. [Updated 2023 Aug 28]. In: StatPearls [Internet]. Treasure Island (FL): StatPearls Publishing; 2025 Jan-. </w:t>
      </w:r>
      <w:r>
        <w:rPr>
          <w:rFonts w:ascii="微軟正黑體" w:eastAsia="微軟正黑體" w:hAnsi="微軟正黑體" w:cs="Calibri" w:hint="eastAsia"/>
          <w:color w:val="222222"/>
          <w:sz w:val="22"/>
          <w:szCs w:val="22"/>
          <w:shd w:val="clear" w:color="auto" w:fill="FFFFFF"/>
        </w:rPr>
        <w:t xml:space="preserve">Available from: </w:t>
      </w:r>
      <w:hyperlink r:id="rId11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  <w:shd w:val="clear" w:color="auto" w:fill="FFFFFF"/>
          </w:rPr>
          <w:t>https://www.ncbi.nlm.nih.gov/books/NBK534855/</w:t>
        </w:r>
      </w:hyperlink>
    </w:p>
    <w:p w:rsidR="008C1A6F" w:rsidRDefault="008C1A6F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Robertson GL: Disorder of the Neurohyposis, Chap.404</w:t>
      </w:r>
    </w:p>
    <w:p w:rsidR="008C1A6F" w:rsidRDefault="008C1A6F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(2022). </w:t>
      </w:r>
      <w:r>
        <w:rPr>
          <w:rFonts w:ascii="微軟正黑體" w:eastAsia="微軟正黑體" w:hAnsi="微軟正黑體" w:cs="Calibri" w:hint="eastAsia"/>
          <w:color w:val="444444"/>
          <w:highlight w:val="yellow"/>
        </w:rPr>
        <w:t>Loscalzo J, &amp; Fauci A, &amp; Kasper D, &amp; Hauser S, &amp; Longo D, &amp; Jameson J(Eds.),</w:t>
      </w: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  <w:r>
        <w:rPr>
          <w:rFonts w:ascii="微軟正黑體" w:eastAsia="微軟正黑體" w:hAnsi="微軟正黑體" w:cs="Calibri" w:hint="eastAsia"/>
          <w:i/>
          <w:iCs/>
          <w:color w:val="444444"/>
          <w:highlight w:val="yellow"/>
        </w:rPr>
        <w:t>Harrison's Principles of Internal Medicine, 21e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. McGraw-Hill Education.  </w:t>
      </w:r>
      <w:hyperlink r:id="rId12" w:history="1">
        <w:r>
          <w:rPr>
            <w:rStyle w:val="a3"/>
            <w:rFonts w:ascii="微軟正黑體" w:eastAsia="微軟正黑體" w:hAnsi="微軟正黑體" w:cs="Calibri" w:hint="eastAsia"/>
            <w:highlight w:val="yellow"/>
          </w:rPr>
          <w:t>https://accesspharmacy.mhmedical.com/content.aspx?bookid=3095&amp;sectionid=259856983</w:t>
        </w:r>
      </w:hyperlink>
    </w:p>
    <w:p w:rsidR="008C1A6F" w:rsidRDefault="008C1A6F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8C1A6F" w:rsidRDefault="008C1A6F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C1A6F" w:rsidRDefault="008C1A6F" w:rsidP="008C1A6F">
      <w:r>
        <w:separator/>
      </w:r>
    </w:p>
  </w:endnote>
  <w:endnote w:type="continuationSeparator" w:id="0">
    <w:p w:rsidR="008C1A6F" w:rsidRDefault="008C1A6F" w:rsidP="008C1A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C1A6F" w:rsidRDefault="008C1A6F" w:rsidP="008C1A6F">
      <w:r>
        <w:separator/>
      </w:r>
    </w:p>
  </w:footnote>
  <w:footnote w:type="continuationSeparator" w:id="0">
    <w:p w:rsidR="008C1A6F" w:rsidRDefault="008C1A6F" w:rsidP="008C1A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1B7319"/>
    <w:multiLevelType w:val="multilevel"/>
    <w:tmpl w:val="DE88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1700686">
    <w:abstractNumId w:val="0"/>
  </w:num>
  <w:num w:numId="2" w16cid:durableId="22776542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9583354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A6F"/>
    <w:rsid w:val="007D2822"/>
    <w:rsid w:val="008C1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F9746DD-51AB-4F21-8751-F3F922A3F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8C1A6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8C1A6F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8C1A6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8C1A6F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07/s00467-011-2010-5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x.doi.org/10.1161/STR.0b013e3182587839" TargetMode="External"/><Relationship Id="rId12" Type="http://schemas.openxmlformats.org/officeDocument/2006/relationships/hyperlink" Target="https://accesspharmacy.mhmedical.com/content.aspx?bookid=3095&amp;sectionid=25985698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ncbi.nlm.nih.gov/books/NBK534855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oi.org/10.1097/01.CCM.0000035017.22495.5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3109/02688697.2015.1070285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495</Words>
  <Characters>2823</Characters>
  <Application>Microsoft Office Word</Application>
  <DocSecurity>0</DocSecurity>
  <Lines>23</Lines>
  <Paragraphs>6</Paragraphs>
  <ScaleCrop>false</ScaleCrop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2025-07-29T02:28:00Z</dcterms:created>
  <dcterms:modified xsi:type="dcterms:W3CDTF">2025-07-29T02:28:00Z</dcterms:modified>
</cp:coreProperties>
</file>