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A13" w:rsidRDefault="00A42A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子宮內膜癌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A42A13" w:rsidRDefault="00A42A1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概述：與子宮內膜增生高度相關，可一起研讀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A42A13" w:rsidRDefault="00A42A13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流行病學（</w:t>
      </w:r>
      <w:r>
        <w:rPr>
          <w:rFonts w:cs="Calibri" w:hint="eastAsia"/>
          <w:color w:val="000000"/>
          <w:sz w:val="28"/>
          <w:szCs w:val="28"/>
        </w:rPr>
        <w:t>Epidemiology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A42A13" w:rsidRDefault="00A42A13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最常見的女性生殖道癌症（</w:t>
      </w:r>
      <w:r>
        <w:rPr>
          <w:rFonts w:cs="Calibri" w:hint="eastAsia"/>
          <w:color w:val="000000"/>
          <w:sz w:val="22"/>
          <w:szCs w:val="22"/>
        </w:rPr>
        <w:t>Most common gynecologic malignancy</w:t>
      </w:r>
      <w:r>
        <w:rPr>
          <w:rFonts w:cs="Calibri" w:hint="eastAsia"/>
          <w:color w:val="000000"/>
          <w:sz w:val="22"/>
          <w:szCs w:val="22"/>
        </w:rPr>
        <w:t>）之一</w:t>
      </w:r>
    </w:p>
    <w:p w:rsidR="00A42A13" w:rsidRDefault="00A42A1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國考常考重點：婦科三癌（內膜、子宮頸、卵巢癌）</w:t>
      </w:r>
    </w:p>
    <w:p w:rsidR="00A42A13" w:rsidRDefault="00A42A13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好發於停經後婦女（</w:t>
      </w:r>
      <w:r>
        <w:rPr>
          <w:rFonts w:cs="Calibri" w:hint="eastAsia"/>
          <w:color w:val="000000"/>
          <w:sz w:val="22"/>
          <w:szCs w:val="22"/>
        </w:rPr>
        <w:t xml:space="preserve">Postmenopausal women, </w:t>
      </w:r>
      <w:r>
        <w:rPr>
          <w:rFonts w:cs="Calibri" w:hint="eastAsia"/>
          <w:color w:val="000000"/>
          <w:sz w:val="22"/>
          <w:szCs w:val="22"/>
        </w:rPr>
        <w:t>平均</w:t>
      </w:r>
      <w:r>
        <w:rPr>
          <w:rFonts w:cs="Calibri" w:hint="eastAsia"/>
          <w:color w:val="000000"/>
          <w:sz w:val="22"/>
          <w:szCs w:val="22"/>
        </w:rPr>
        <w:t xml:space="preserve">60-70 </w:t>
      </w:r>
      <w:r>
        <w:rPr>
          <w:rFonts w:cs="Calibri" w:hint="eastAsia"/>
          <w:color w:val="000000"/>
          <w:sz w:val="22"/>
          <w:szCs w:val="22"/>
        </w:rPr>
        <w:t>歲多）</w:t>
      </w:r>
    </w:p>
    <w:p w:rsidR="00A42A13" w:rsidRDefault="00A42A13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&lt;50 </w:t>
      </w:r>
      <w:r>
        <w:rPr>
          <w:rFonts w:cs="Calibri" w:hint="eastAsia"/>
          <w:b/>
          <w:bCs/>
          <w:color w:val="000000"/>
          <w:sz w:val="22"/>
          <w:szCs w:val="22"/>
        </w:rPr>
        <w:t>歲與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PCOS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HNPCC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FH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BRCA</w:t>
      </w:r>
      <w:r>
        <w:rPr>
          <w:rFonts w:cs="Calibri" w:hint="eastAsia"/>
          <w:b/>
          <w:bCs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TP53 </w:t>
      </w:r>
      <w:r>
        <w:rPr>
          <w:rFonts w:cs="Calibri" w:hint="eastAsia"/>
          <w:b/>
          <w:bCs/>
          <w:color w:val="000000"/>
          <w:sz w:val="22"/>
          <w:szCs w:val="22"/>
        </w:rPr>
        <w:t>相關</w:t>
      </w:r>
    </w:p>
    <w:p w:rsidR="00A42A13" w:rsidRDefault="00A42A13">
      <w:pPr>
        <w:numPr>
          <w:ilvl w:val="0"/>
          <w:numId w:val="5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肥胖、高雌激素狀態為主要危險因子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危險因子（</w:t>
      </w:r>
      <w:r>
        <w:rPr>
          <w:rFonts w:cs="Calibri" w:hint="eastAsia"/>
          <w:color w:val="000000"/>
          <w:sz w:val="28"/>
          <w:szCs w:val="28"/>
        </w:rPr>
        <w:t>Risk Factors</w:t>
      </w:r>
      <w:r>
        <w:rPr>
          <w:rFonts w:cs="Calibri" w:hint="eastAsia"/>
          <w:color w:val="000000"/>
          <w:sz w:val="28"/>
          <w:szCs w:val="28"/>
        </w:rPr>
        <w:t>）：</w:t>
      </w:r>
      <w:r>
        <w:rPr>
          <w:rFonts w:cs="Calibri" w:hint="eastAsia"/>
          <w:color w:val="FF0000"/>
          <w:sz w:val="28"/>
          <w:szCs w:val="28"/>
        </w:rPr>
        <w:t>Unopposed Estrogen</w:t>
      </w:r>
      <w:r>
        <w:rPr>
          <w:rFonts w:cs="Calibri" w:hint="eastAsia"/>
          <w:color w:val="FF0000"/>
          <w:sz w:val="28"/>
          <w:szCs w:val="28"/>
        </w:rPr>
        <w:t>為主要原因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9"/>
        <w:gridCol w:w="5637"/>
      </w:tblGrid>
      <w:tr w:rsidR="00000000">
        <w:trPr>
          <w:divId w:val="927734316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具體危險因子</w:t>
            </w:r>
          </w:p>
        </w:tc>
      </w:tr>
      <w:tr w:rsidR="00000000">
        <w:trPr>
          <w:divId w:val="927734316"/>
        </w:trPr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Endogenous E2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27734316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外生性（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Exogenous E2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6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未合併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Progesterone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的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HRT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FF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</w:tr>
      <w:tr w:rsidR="00000000">
        <w:trPr>
          <w:divId w:val="927734316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基因相關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Lynch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增加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</w:t>
            </w:r>
          </w:p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- BRCA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TP53</w:t>
            </w:r>
          </w:p>
        </w:tc>
      </w:tr>
      <w:tr w:rsidR="00000000">
        <w:trPr>
          <w:divId w:val="927734316"/>
        </w:trPr>
        <w:tc>
          <w:tcPr>
            <w:tcW w:w="2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代謝疾病</w:t>
            </w:r>
          </w:p>
        </w:tc>
        <w:tc>
          <w:tcPr>
            <w:tcW w:w="6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）、代謝症候群</w:t>
            </w:r>
          </w:p>
        </w:tc>
      </w:tr>
    </w:tbl>
    <w:p w:rsidR="00A42A13" w:rsidRDefault="00A42A13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  <w:r>
        <w:rPr>
          <w:rFonts w:cs="Calibri" w:hint="eastAsia"/>
          <w:b/>
          <w:bCs/>
          <w:color w:val="000000"/>
          <w:sz w:val="22"/>
          <w:szCs w:val="22"/>
        </w:rPr>
        <w:t>：外生性的常考在乳癌、子宮內膜癌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A42A13" w:rsidRDefault="00A42A13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臨床表現（</w:t>
      </w:r>
      <w:r>
        <w:rPr>
          <w:rFonts w:cs="Calibri" w:hint="eastAsia"/>
          <w:color w:val="1F497D"/>
          <w:sz w:val="32"/>
          <w:szCs w:val="32"/>
        </w:rPr>
        <w:t>Clinical Presentation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A42A13" w:rsidRDefault="00A42A13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最常見症狀：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停經後異常陰道出血（</w:t>
      </w:r>
      <w:r>
        <w:rPr>
          <w:rFonts w:cs="Calibri" w:hint="eastAsia"/>
          <w:b/>
          <w:bCs/>
          <w:color w:val="E36C09"/>
          <w:sz w:val="22"/>
          <w:szCs w:val="22"/>
        </w:rPr>
        <w:t>Postmenopausal bleeding</w:t>
      </w:r>
      <w:r>
        <w:rPr>
          <w:rFonts w:cs="Calibri" w:hint="eastAsia"/>
          <w:b/>
          <w:bCs/>
          <w:color w:val="E36C09"/>
          <w:sz w:val="22"/>
          <w:szCs w:val="22"/>
        </w:rPr>
        <w:t>）</w:t>
      </w:r>
    </w:p>
    <w:p w:rsidR="00A42A13" w:rsidRDefault="00A42A13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其他表現：</w:t>
      </w:r>
    </w:p>
    <w:p w:rsidR="00A42A13" w:rsidRDefault="00A42A1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月經異常（</w:t>
      </w:r>
      <w:r>
        <w:rPr>
          <w:rFonts w:cs="Calibri" w:hint="eastAsia"/>
          <w:color w:val="000000"/>
          <w:sz w:val="22"/>
          <w:szCs w:val="22"/>
        </w:rPr>
        <w:t>Irregular menstruation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骨盆疼痛（</w:t>
      </w:r>
      <w:r>
        <w:rPr>
          <w:rFonts w:cs="Calibri" w:hint="eastAsia"/>
          <w:color w:val="000000"/>
          <w:sz w:val="22"/>
          <w:szCs w:val="22"/>
        </w:rPr>
        <w:t>Pelvic pain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晚期可能有</w:t>
      </w:r>
      <w:r>
        <w:rPr>
          <w:rFonts w:cs="Calibri" w:hint="eastAsia"/>
          <w:b/>
          <w:bCs/>
          <w:color w:val="000000"/>
          <w:sz w:val="22"/>
          <w:szCs w:val="22"/>
        </w:rPr>
        <w:t>體重減輕（</w:t>
      </w:r>
      <w:r>
        <w:rPr>
          <w:rFonts w:cs="Calibri" w:hint="eastAsia"/>
          <w:b/>
          <w:bCs/>
          <w:color w:val="000000"/>
          <w:sz w:val="22"/>
          <w:szCs w:val="22"/>
        </w:rPr>
        <w:t>Cachexia</w:t>
      </w:r>
      <w:r>
        <w:rPr>
          <w:rFonts w:cs="Calibri" w:hint="eastAsia"/>
          <w:b/>
          <w:bCs/>
          <w:color w:val="000000"/>
          <w:sz w:val="22"/>
          <w:szCs w:val="22"/>
        </w:rPr>
        <w:t>）、腹水（</w:t>
      </w:r>
      <w:r>
        <w:rPr>
          <w:rFonts w:cs="Calibri" w:hint="eastAsia"/>
          <w:b/>
          <w:bCs/>
          <w:color w:val="000000"/>
          <w:sz w:val="22"/>
          <w:szCs w:val="22"/>
        </w:rPr>
        <w:t>Ascites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病理分類（</w:t>
      </w:r>
      <w:r>
        <w:rPr>
          <w:rFonts w:cs="Calibri" w:hint="eastAsia"/>
          <w:color w:val="000000"/>
          <w:sz w:val="32"/>
          <w:szCs w:val="32"/>
        </w:rPr>
        <w:t>Histological Classification, WHO 2014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8"/>
        <w:gridCol w:w="1055"/>
        <w:gridCol w:w="2070"/>
        <w:gridCol w:w="1893"/>
      </w:tblGrid>
      <w:tr w:rsidR="00000000">
        <w:trPr>
          <w:divId w:val="16039652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癌變機轉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</w:t>
            </w:r>
          </w:p>
        </w:tc>
      </w:tr>
      <w:tr w:rsidR="00000000">
        <w:trPr>
          <w:divId w:val="16039652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與長期雌激素暴露相關，常見於肥胖者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較佳（低度惡性）</w:t>
            </w:r>
          </w:p>
        </w:tc>
      </w:tr>
      <w:tr w:rsidR="00000000">
        <w:trPr>
          <w:divId w:val="160396524"/>
        </w:trPr>
        <w:tc>
          <w:tcPr>
            <w:tcW w:w="3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Non-estrogen-dependent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常見於年長女性，與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突變相關</w:t>
            </w:r>
          </w:p>
        </w:tc>
        <w:tc>
          <w:tcPr>
            <w:tcW w:w="2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較差（高度侵襲性）</w:t>
            </w:r>
          </w:p>
        </w:tc>
      </w:tr>
    </w:tbl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lastRenderedPageBreak/>
        <w:t> </w:t>
      </w:r>
    </w:p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子宮內膜癌常見病理亞型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43"/>
        <w:gridCol w:w="1224"/>
        <w:gridCol w:w="3505"/>
      </w:tblGrid>
      <w:tr w:rsidR="00000000">
        <w:trPr>
          <w:divId w:val="508561511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病理類型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所屬類型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508561511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 Adenocarcinoma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75-80%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08561511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高度侵襲性，與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相關</w:t>
            </w:r>
          </w:p>
        </w:tc>
      </w:tr>
      <w:tr w:rsidR="00000000">
        <w:trPr>
          <w:divId w:val="508561511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預後差，細胞異型明顯</w:t>
            </w:r>
          </w:p>
        </w:tc>
      </w:tr>
      <w:tr w:rsidR="00000000">
        <w:trPr>
          <w:divId w:val="508561511"/>
        </w:trPr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Mixed Carcinoma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  <w:tc>
          <w:tcPr>
            <w:tcW w:w="3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具兩種以上類型，常見於高齡患者</w:t>
            </w:r>
          </w:p>
        </w:tc>
      </w:tr>
    </w:tbl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FF0000"/>
          <w:sz w:val="28"/>
          <w:szCs w:val="28"/>
        </w:rPr>
      </w:pPr>
      <w:r>
        <w:rPr>
          <w:rFonts w:cs="Calibri" w:hint="eastAsia"/>
          <w:color w:val="FF0000"/>
          <w:sz w:val="28"/>
          <w:szCs w:val="28"/>
        </w:rPr>
        <w:t>補充：</w:t>
      </w:r>
      <w:r>
        <w:rPr>
          <w:rFonts w:cs="Calibri" w:hint="eastAsia"/>
          <w:color w:val="FF0000"/>
          <w:sz w:val="28"/>
          <w:szCs w:val="28"/>
        </w:rPr>
        <w:t>Type I v.s. Type II</w:t>
      </w:r>
      <w:r>
        <w:rPr>
          <w:rFonts w:cs="Calibri" w:hint="eastAsia"/>
          <w:color w:val="FF0000"/>
          <w:sz w:val="28"/>
          <w:szCs w:val="28"/>
        </w:rPr>
        <w:t>爆愛考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2"/>
        <w:gridCol w:w="3142"/>
        <w:gridCol w:w="3062"/>
      </w:tblGrid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比較特性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Epidemiology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較常見，發生於停經前（年紀較輕）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發生於停經後（年紀較大）</w:t>
            </w:r>
          </w:p>
        </w:tc>
      </w:tr>
      <w:tr w:rsidR="00000000">
        <w:trPr>
          <w:divId w:val="1700735766"/>
        </w:trPr>
        <w:tc>
          <w:tcPr>
            <w:tcW w:w="24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雌激素風險（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Estrogen Risk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非對抗性雌激素（</w:t>
            </w:r>
            <w:r>
              <w:rPr>
                <w:rFonts w:hint="eastAsia"/>
                <w:color w:val="000000"/>
                <w:sz w:val="22"/>
                <w:szCs w:val="22"/>
              </w:rPr>
              <w:t>Unopposed estrogen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肥胖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相關性較低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前驅病灶（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Precursor Lesion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子宮內膜增生（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非典型增生（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子宮內膜萎縮（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Endometrial atrophy</w:t>
            </w:r>
            <w:r>
              <w:rPr>
                <w:rFonts w:hint="eastAsia"/>
                <w:color w:val="000000"/>
                <w:sz w:val="22"/>
                <w:szCs w:val="22"/>
              </w:rPr>
              <w:t>）→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子宮內膜上皮內癌（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Endometrial intraepithelial carcinoma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病理型態原型（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Histologic Type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Endometrioid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其他病理型態（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 Variants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黏液型（</w:t>
            </w:r>
            <w:r>
              <w:rPr>
                <w:rFonts w:hint="eastAsia"/>
                <w:color w:val="000000"/>
                <w:sz w:val="22"/>
                <w:szCs w:val="22"/>
              </w:rPr>
              <w:t>Mucinous</w:t>
            </w:r>
            <w:r>
              <w:rPr>
                <w:rFonts w:hint="eastAsia"/>
                <w:color w:val="000000"/>
                <w:sz w:val="22"/>
                <w:szCs w:val="22"/>
              </w:rPr>
              <w:t>）、具鱗狀分化的內膜樣癌（</w:t>
            </w:r>
            <w:r>
              <w:rPr>
                <w:rFonts w:hint="eastAsia"/>
                <w:color w:val="000000"/>
                <w:sz w:val="22"/>
                <w:szCs w:val="22"/>
              </w:rPr>
              <w:t>Endometrioid with squamous differentiation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透明細胞癌（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Clear Cell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腫瘤分級（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Tumor Grade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低度（</w:t>
            </w:r>
            <w:r>
              <w:rPr>
                <w:rFonts w:hint="eastAsia"/>
                <w:color w:val="000000"/>
                <w:sz w:val="22"/>
                <w:szCs w:val="22"/>
              </w:rPr>
              <w:t>Low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高度（</w:t>
            </w:r>
            <w:r>
              <w:rPr>
                <w:rFonts w:hint="eastAsia"/>
                <w:color w:val="000000"/>
                <w:sz w:val="22"/>
                <w:szCs w:val="22"/>
              </w:rPr>
              <w:t>High Grade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700735766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基因變異（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Genetic Mutations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PTEN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PIK3CA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微衛星不穩定性（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Microsatellite instability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KRAS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突變</w:t>
            </w:r>
          </w:p>
        </w:tc>
        <w:tc>
          <w:tcPr>
            <w:tcW w:w="5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P53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突變（約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90% Type II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具此變異）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部分可見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HER-2/neu</w:t>
            </w:r>
            <w:r>
              <w:rPr>
                <w:rFonts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CMYC </w:t>
            </w:r>
            <w:r>
              <w:rPr>
                <w:rFonts w:hint="eastAsia"/>
                <w:b/>
                <w:bCs/>
                <w:sz w:val="22"/>
                <w:szCs w:val="22"/>
              </w:rPr>
              <w:t>過量表現</w:t>
            </w:r>
          </w:p>
        </w:tc>
      </w:tr>
    </w:tbl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預後與併發症（</w:t>
      </w:r>
      <w:r>
        <w:rPr>
          <w:rFonts w:cs="Calibri" w:hint="eastAsia"/>
          <w:color w:val="000000"/>
          <w:sz w:val="28"/>
          <w:szCs w:val="28"/>
        </w:rPr>
        <w:t>Prognosis &amp; Associated Cancers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9"/>
        <w:gridCol w:w="1638"/>
        <w:gridCol w:w="3809"/>
      </w:tblGrid>
      <w:tr w:rsidR="00000000">
        <w:trPr>
          <w:divId w:val="1252621073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II</w:t>
            </w:r>
          </w:p>
        </w:tc>
      </w:tr>
      <w:tr w:rsidR="00000000">
        <w:trPr>
          <w:divId w:val="1252621073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Prognosis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較好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較差</w:t>
            </w:r>
          </w:p>
        </w:tc>
      </w:tr>
      <w:tr w:rsidR="00000000">
        <w:trPr>
          <w:divId w:val="1252621073"/>
        </w:trPr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常見合併症（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Associated Cancers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乳癌（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Breast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）、大腸直腸癌（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Colorectal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SEOC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Serous Endometrial Ovarian Cancer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</w:tbl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）：與子宮內膜增生相同</w:t>
      </w:r>
    </w:p>
    <w:p w:rsidR="00A42A13" w:rsidRDefault="00A42A13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子宮內膜取樣（</w:t>
      </w:r>
      <w:r>
        <w:rPr>
          <w:rFonts w:cs="Calibri" w:hint="eastAsia"/>
          <w:b/>
          <w:bCs/>
          <w:color w:val="FF0000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F0000"/>
          <w:sz w:val="22"/>
          <w:szCs w:val="22"/>
        </w:rPr>
        <w:t>）</w:t>
      </w:r>
      <w:r>
        <w:rPr>
          <w:rFonts w:cs="Calibri" w:hint="eastAsia"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首選診斷方式</w:t>
      </w:r>
    </w:p>
    <w:p w:rsidR="00A42A13" w:rsidRDefault="00A42A13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影像學：</w:t>
      </w:r>
    </w:p>
    <w:p w:rsidR="00A42A13" w:rsidRDefault="00A42A13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10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停經後內膜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&gt;4mm </w:t>
      </w:r>
      <w:r>
        <w:rPr>
          <w:rFonts w:cs="Calibri" w:hint="eastAsia"/>
          <w:b/>
          <w:bCs/>
          <w:color w:val="E36C09"/>
          <w:sz w:val="22"/>
          <w:szCs w:val="22"/>
        </w:rPr>
        <w:t>→</w:t>
      </w:r>
      <w:r>
        <w:rPr>
          <w:rFonts w:cs="Calibri" w:hint="eastAsia"/>
          <w:b/>
          <w:bCs/>
          <w:color w:val="E36C09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需進一步檢查</w:t>
      </w:r>
    </w:p>
    <w:p w:rsidR="00A42A13" w:rsidRDefault="00A42A13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內膜不均勻增厚、異常回聲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需活檢確診</w:t>
      </w:r>
    </w:p>
    <w:p w:rsidR="00A42A13" w:rsidRDefault="00A42A13">
      <w:pPr>
        <w:numPr>
          <w:ilvl w:val="0"/>
          <w:numId w:val="1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：可發現病變，</w:t>
      </w:r>
      <w:r>
        <w:rPr>
          <w:rFonts w:cs="Calibri" w:hint="eastAsia"/>
          <w:color w:val="E36C09"/>
          <w:sz w:val="22"/>
          <w:szCs w:val="22"/>
        </w:rPr>
        <w:t>但需切片確診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子宮內膜癌</w:t>
      </w:r>
      <w:r>
        <w:rPr>
          <w:rFonts w:cs="Calibri" w:hint="eastAsia"/>
          <w:color w:val="000000"/>
          <w:sz w:val="28"/>
          <w:szCs w:val="28"/>
        </w:rPr>
        <w:t xml:space="preserve"> FIGO </w:t>
      </w:r>
      <w:r>
        <w:rPr>
          <w:rFonts w:cs="Calibri" w:hint="eastAsia"/>
          <w:color w:val="000000"/>
          <w:sz w:val="28"/>
          <w:szCs w:val="28"/>
        </w:rPr>
        <w:t>分期（</w:t>
      </w:r>
      <w:r>
        <w:rPr>
          <w:rFonts w:cs="Calibri" w:hint="eastAsia"/>
          <w:color w:val="000000"/>
          <w:sz w:val="28"/>
          <w:szCs w:val="28"/>
        </w:rPr>
        <w:t>FIGO Staging for Endometrial Carcinoma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2"/>
        <w:gridCol w:w="960"/>
        <w:gridCol w:w="4393"/>
      </w:tblGrid>
      <w:tr w:rsidR="00000000">
        <w:trPr>
          <w:divId w:val="1232694228"/>
        </w:trPr>
        <w:tc>
          <w:tcPr>
            <w:tcW w:w="1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FIGO Stage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侵犯程度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子宮內膜或子宮肌層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&lt;1/2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子宮肌層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&gt;1/2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子宮頸基質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IIIA</w:t>
            </w:r>
          </w:p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子宮漿膜層（</w:t>
            </w:r>
            <w:r>
              <w:rPr>
                <w:rFonts w:hint="eastAsia"/>
                <w:color w:val="000000"/>
                <w:sz w:val="22"/>
                <w:szCs w:val="22"/>
              </w:rPr>
              <w:t>serosa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±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子宮附件（</w:t>
            </w:r>
            <w:r>
              <w:rPr>
                <w:rFonts w:hint="eastAsia"/>
                <w:color w:val="000000"/>
                <w:sz w:val="22"/>
                <w:szCs w:val="22"/>
              </w:rPr>
              <w:t>adnexa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IIIB</w:t>
            </w:r>
          </w:p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陰道或子宮旁組織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</w:t>
            </w:r>
          </w:p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IIIC1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骨盆腔淋巴結</w:t>
            </w:r>
          </w:p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IIIC2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主動脈旁淋巴結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IVA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膀胱或直腸黏膜層</w:t>
            </w:r>
          </w:p>
        </w:tc>
      </w:tr>
      <w:tr w:rsidR="00000000">
        <w:trPr>
          <w:divId w:val="1232694228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IVB</w:t>
            </w:r>
          </w:p>
        </w:tc>
        <w:tc>
          <w:tcPr>
            <w:tcW w:w="4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遠端轉移（肺、肝、骨頭等）</w:t>
            </w:r>
          </w:p>
        </w:tc>
      </w:tr>
    </w:tbl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A42A13" w:rsidRDefault="00A42A13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A42A13" w:rsidRDefault="00A42A13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標準治療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90"/>
        <w:gridCol w:w="5388"/>
      </w:tblGrid>
      <w:tr w:rsidR="00000000">
        <w:trPr>
          <w:divId w:val="658770341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分期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658770341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雙側卵巢輸卵管切除（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（低風險）：單獨手術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（肌肉層侵犯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&gt;50%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）：手術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</w:p>
        </w:tc>
      </w:tr>
      <w:tr w:rsidR="00000000">
        <w:trPr>
          <w:divId w:val="658770341"/>
        </w:trPr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</w:t>
            </w:r>
          </w:p>
        </w:tc>
        <w:tc>
          <w:tcPr>
            <w:tcW w:w="5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卵巢輸卵管切除（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TAH + BSO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放射治療</w:t>
            </w:r>
          </w:p>
        </w:tc>
      </w:tr>
      <w:tr w:rsidR="00000000">
        <w:trPr>
          <w:divId w:val="65877034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III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全子宮切除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放療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化療（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Cisplatin + Paclitaxel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58770341"/>
        </w:trPr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IV</w:t>
            </w:r>
          </w:p>
        </w:tc>
        <w:tc>
          <w:tcPr>
            <w:tcW w:w="5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2A13" w:rsidRDefault="00A42A1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緩和治療（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Palliative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），可考慮標靶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免疫治療</w:t>
            </w:r>
          </w:p>
        </w:tc>
      </w:tr>
    </w:tbl>
    <w:p w:rsidR="00A42A13" w:rsidRDefault="00A42A13">
      <w:pPr>
        <w:pStyle w:val="Web"/>
        <w:spacing w:before="0" w:beforeAutospacing="0" w:after="0" w:afterAutospacing="0"/>
        <w:rPr>
          <w:rFonts w:cs="Calibri" w:hint="eastAsia"/>
          <w:color w:val="9BBB59"/>
          <w:sz w:val="22"/>
          <w:szCs w:val="22"/>
        </w:rPr>
      </w:pPr>
      <w:r>
        <w:rPr>
          <w:rFonts w:cs="Calibri" w:hint="eastAsia"/>
          <w:color w:val="9BBB59"/>
          <w:sz w:val="22"/>
          <w:szCs w:val="22"/>
        </w:rPr>
        <w:t>補充：</w:t>
      </w:r>
    </w:p>
    <w:p w:rsidR="00A42A13" w:rsidRDefault="00A42A13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年輕有生育需求者（低分級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Type 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：可考慮</w:t>
      </w:r>
      <w:r>
        <w:rPr>
          <w:rFonts w:cs="Calibri" w:hint="eastAsia"/>
          <w:b/>
          <w:bCs/>
          <w:color w:val="000000"/>
          <w:sz w:val="22"/>
          <w:szCs w:val="22"/>
        </w:rPr>
        <w:t>高劑量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Progestin </w:t>
      </w:r>
      <w:r>
        <w:rPr>
          <w:rFonts w:cs="Calibri" w:hint="eastAsia"/>
          <w:b/>
          <w:bCs/>
          <w:color w:val="000000"/>
          <w:sz w:val="22"/>
          <w:szCs w:val="22"/>
        </w:rPr>
        <w:t>治療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定期內膜切片</w:t>
      </w:r>
    </w:p>
    <w:p w:rsidR="00A42A13" w:rsidRDefault="00A42A1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高危險類型（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：通常需要</w:t>
      </w:r>
      <w:r>
        <w:rPr>
          <w:rFonts w:cs="Calibri" w:hint="eastAsia"/>
          <w:b/>
          <w:bCs/>
          <w:color w:val="000000"/>
          <w:sz w:val="22"/>
          <w:szCs w:val="22"/>
        </w:rPr>
        <w:t>手術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+ </w:t>
      </w:r>
      <w:r>
        <w:rPr>
          <w:rFonts w:cs="Calibri" w:hint="eastAsia"/>
          <w:b/>
          <w:bCs/>
          <w:color w:val="000000"/>
          <w:sz w:val="22"/>
          <w:szCs w:val="22"/>
        </w:rPr>
        <w:t>化療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A42A13" w:rsidRDefault="00A42A13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預後與高風險因子（</w:t>
      </w:r>
      <w:r>
        <w:rPr>
          <w:rFonts w:cs="Calibri" w:hint="eastAsia"/>
          <w:color w:val="000000"/>
          <w:sz w:val="32"/>
          <w:szCs w:val="32"/>
        </w:rPr>
        <w:t>Prognosis &amp; High-Risk Factors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A42A13" w:rsidRDefault="00A42A13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5</w:t>
      </w:r>
      <w:r>
        <w:rPr>
          <w:rFonts w:cs="Calibri" w:hint="eastAsia"/>
          <w:b/>
          <w:bCs/>
          <w:color w:val="000000"/>
          <w:sz w:val="22"/>
          <w:szCs w:val="22"/>
        </w:rPr>
        <w:t>年存活率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80-90%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70-80%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40-60%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Stage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&lt;20%</w:t>
      </w:r>
    </w:p>
    <w:p w:rsidR="00A42A13" w:rsidRDefault="00A42A13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預後不好因子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Type II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Serous, Clear Cell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淋巴轉移、淋巴血管侵犯（</w:t>
      </w:r>
      <w:r>
        <w:rPr>
          <w:rFonts w:cs="Calibri" w:hint="eastAsia"/>
          <w:b/>
          <w:bCs/>
          <w:color w:val="000000"/>
          <w:sz w:val="22"/>
          <w:szCs w:val="22"/>
        </w:rPr>
        <w:t>LVI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b/>
          <w:bCs/>
          <w:color w:val="000000"/>
          <w:sz w:val="22"/>
          <w:szCs w:val="22"/>
        </w:rPr>
        <w:t>（高分化癌）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肌肉層侵犯（</w:t>
      </w:r>
      <w:r>
        <w:rPr>
          <w:rFonts w:cs="Calibri" w:hint="eastAsia"/>
          <w:b/>
          <w:bCs/>
          <w:color w:val="000000"/>
          <w:sz w:val="22"/>
          <w:szCs w:val="22"/>
        </w:rPr>
        <w:t>Myometrial Invasion &gt;50%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A42A13" w:rsidRDefault="00A42A1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p53 </w:t>
      </w:r>
      <w:r>
        <w:rPr>
          <w:rFonts w:cs="Calibri" w:hint="eastAsia"/>
          <w:b/>
          <w:bCs/>
          <w:color w:val="000000"/>
          <w:sz w:val="22"/>
          <w:szCs w:val="22"/>
        </w:rPr>
        <w:t>突變</w:t>
      </w:r>
    </w:p>
    <w:p w:rsidR="00A42A13" w:rsidRDefault="00A42A13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2A13" w:rsidRDefault="00A42A13" w:rsidP="00A42A13">
      <w:r>
        <w:separator/>
      </w:r>
    </w:p>
  </w:endnote>
  <w:endnote w:type="continuationSeparator" w:id="0">
    <w:p w:rsidR="00A42A13" w:rsidRDefault="00A42A13" w:rsidP="00A4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2A13" w:rsidRDefault="00A42A13" w:rsidP="00A42A13">
      <w:r>
        <w:separator/>
      </w:r>
    </w:p>
  </w:footnote>
  <w:footnote w:type="continuationSeparator" w:id="0">
    <w:p w:rsidR="00A42A13" w:rsidRDefault="00A42A13" w:rsidP="00A42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922"/>
    <w:multiLevelType w:val="multilevel"/>
    <w:tmpl w:val="303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A32CE"/>
    <w:multiLevelType w:val="multilevel"/>
    <w:tmpl w:val="87D6A4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13CD9"/>
    <w:multiLevelType w:val="multilevel"/>
    <w:tmpl w:val="434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022DF"/>
    <w:multiLevelType w:val="multilevel"/>
    <w:tmpl w:val="027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C23A0"/>
    <w:multiLevelType w:val="multilevel"/>
    <w:tmpl w:val="DF4626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14643DC"/>
    <w:multiLevelType w:val="multilevel"/>
    <w:tmpl w:val="217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AC2AF3"/>
    <w:multiLevelType w:val="multilevel"/>
    <w:tmpl w:val="CA5831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80A17"/>
    <w:multiLevelType w:val="multilevel"/>
    <w:tmpl w:val="6DFAA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64539E2"/>
    <w:multiLevelType w:val="multilevel"/>
    <w:tmpl w:val="C05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8A11D9"/>
    <w:multiLevelType w:val="multilevel"/>
    <w:tmpl w:val="E5B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17560C"/>
    <w:multiLevelType w:val="multilevel"/>
    <w:tmpl w:val="AED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8A1B48"/>
    <w:multiLevelType w:val="multilevel"/>
    <w:tmpl w:val="9CB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2A603D"/>
    <w:multiLevelType w:val="multilevel"/>
    <w:tmpl w:val="CDEA2E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73831144">
    <w:abstractNumId w:val="12"/>
  </w:num>
  <w:num w:numId="2" w16cid:durableId="1383752194">
    <w:abstractNumId w:val="1"/>
  </w:num>
  <w:num w:numId="3" w16cid:durableId="1514614762">
    <w:abstractNumId w:val="4"/>
  </w:num>
  <w:num w:numId="4" w16cid:durableId="114102318">
    <w:abstractNumId w:val="6"/>
  </w:num>
  <w:num w:numId="5" w16cid:durableId="792287874">
    <w:abstractNumId w:val="7"/>
  </w:num>
  <w:num w:numId="6" w16cid:durableId="691568049">
    <w:abstractNumId w:val="2"/>
  </w:num>
  <w:num w:numId="7" w16cid:durableId="1727948554">
    <w:abstractNumId w:val="5"/>
  </w:num>
  <w:num w:numId="8" w16cid:durableId="826633296">
    <w:abstractNumId w:val="3"/>
  </w:num>
  <w:num w:numId="9" w16cid:durableId="1074545290">
    <w:abstractNumId w:val="10"/>
  </w:num>
  <w:num w:numId="10" w16cid:durableId="1290279279">
    <w:abstractNumId w:val="9"/>
  </w:num>
  <w:num w:numId="11" w16cid:durableId="193035858">
    <w:abstractNumId w:val="11"/>
  </w:num>
  <w:num w:numId="12" w16cid:durableId="1879900378">
    <w:abstractNumId w:val="0"/>
  </w:num>
  <w:num w:numId="13" w16cid:durableId="912933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13"/>
    <w:rsid w:val="009761A0"/>
    <w:rsid w:val="00A4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4C795B-6635-411E-B21C-575EB13B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42A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2A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42A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2A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9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