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</w:t>
      </w:r>
    </w:p>
    <w:p w:rsidR="001E69FF" w:rsidRDefault="001E69F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E69FF" w:rsidRDefault="001E69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11:56</w:t>
      </w:r>
    </w:p>
    <w:p w:rsidR="001E69FF" w:rsidRDefault="001E69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高血壓、大動脈疾病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急性嚴重的高血壓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severe HTN)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併發症：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[</w:t>
      </w:r>
      <w:r>
        <w:rPr>
          <w:rFonts w:ascii="微軟正黑體" w:eastAsia="微軟正黑體" w:hAnsi="微軟正黑體" w:cs="Calibri" w:hint="eastAsia"/>
          <w:sz w:val="22"/>
          <w:szCs w:val="22"/>
        </w:rPr>
        <w:t>婦產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動脈瘤、急性動脈症候群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7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[CVS]</w:t>
        </w:r>
      </w:hyperlink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高血脂、動脈粥狀硬化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脂質代謝、脂蛋白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高血脂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(Hyperlipidemia)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動脈粥狀硬化之病生理變化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缺血性心臟病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背景知識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分類：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of MI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慢性穩定型心絞痛</w:t>
      </w:r>
      <w:r>
        <w:rPr>
          <w:rFonts w:ascii="微軟正黑體" w:eastAsia="微軟正黑體" w:hAnsi="微軟正黑體" w:cs="Calibri" w:hint="eastAsia"/>
          <w:sz w:val="22"/>
          <w:szCs w:val="22"/>
        </w:rPr>
        <w:t>(Chronic stable angina)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急性冠心症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coronary syndrome)</w:t>
      </w:r>
    </w:p>
    <w:p w:rsidR="001E69FF" w:rsidRDefault="001E6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Unstable angina</w:t>
      </w:r>
    </w:p>
    <w:p w:rsidR="001E69FF" w:rsidRDefault="001E6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NSTEMI</w:t>
      </w:r>
    </w:p>
    <w:p w:rsidR="001E69FF" w:rsidRDefault="001E6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STEMI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Variant angina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心肌酵素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功能影像：</w:t>
      </w:r>
    </w:p>
    <w:p w:rsidR="001E69FF" w:rsidRDefault="001E6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運動心電圖</w:t>
      </w:r>
      <w:r>
        <w:rPr>
          <w:rFonts w:ascii="微軟正黑體" w:eastAsia="微軟正黑體" w:hAnsi="微軟正黑體" w:cs="Calibri" w:hint="eastAsia"/>
          <w:sz w:val="22"/>
          <w:szCs w:val="22"/>
        </w:rPr>
        <w:t>(Treadmill exercise test)</w:t>
      </w:r>
    </w:p>
    <w:p w:rsidR="001E69FF" w:rsidRDefault="001E6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心肌灌注掃描</w:t>
      </w:r>
      <w:r>
        <w:rPr>
          <w:rFonts w:ascii="微軟正黑體" w:eastAsia="微軟正黑體" w:hAnsi="微軟正黑體" w:cs="Calibri" w:hint="eastAsia"/>
          <w:sz w:val="22"/>
          <w:szCs w:val="22"/>
        </w:rPr>
        <w:t>(Myocardial Perfusion Image, MPI)</w:t>
      </w:r>
    </w:p>
    <w:p w:rsidR="001E69FF" w:rsidRDefault="001E6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電腦斷層鈣化指數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SCORE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1E69FF" w:rsidRDefault="001E6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TIMI</w:t>
      </w:r>
    </w:p>
    <w:p w:rsidR="001E69FF" w:rsidRDefault="001E6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GRACE score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CCS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ACS[ACLS]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Post MI complication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心電圖判讀、心律不整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細胞電生理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心電圖判讀原則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心搏過速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Conduction block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(Arrhythmia)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瓣膜性心臟病</w:t>
      </w:r>
      <w:hyperlink r:id="rId8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心音特徵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動脈壓脈搏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(Arterial pressure pulse)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中心靜脈壓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頸靜脈波形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四種瓣膜疾病考試重點整理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stenosis, MS)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regurgitation, MR)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stenosis, AS)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regurgitation, AR)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細菌性心內膜炎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心肌症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擴張性心肌病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(Dilated cardiomyopathy, DCM)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cardiomyopathy, HCM)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(Restrictive cardiomyopathy, RCM)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pericarditis)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心包填塞</w:t>
      </w:r>
      <w:r>
        <w:rPr>
          <w:rFonts w:ascii="微軟正黑體" w:eastAsia="微軟正黑體" w:hAnsi="微軟正黑體" w:cs="Calibri" w:hint="eastAsia"/>
          <w:sz w:val="22"/>
          <w:szCs w:val="22"/>
        </w:rPr>
        <w:t>(Pericardial tamponade)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(Constrictive pericarditis)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心臟衰竭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暈厥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肺血管栓塞</w:t>
      </w:r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CHEST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胸腔科基本知識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症狀學的鑑別診斷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</w:t>
      </w:r>
      <w:r>
        <w:rPr>
          <w:rFonts w:ascii="微軟正黑體" w:eastAsia="微軟正黑體" w:hAnsi="微軟正黑體" w:cs="Calibri" w:hint="eastAsia"/>
          <w:sz w:val="22"/>
          <w:szCs w:val="22"/>
        </w:rPr>
        <w:t>(Cyanosis)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肺功能檢查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光判讀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(Hypoxemia)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氣喘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慢性阻塞性肺疾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(COPD)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間質性肺疾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(ILD)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(Pneumoina, Bronchiectasis)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黴菌感染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結核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Ventilator)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氧氣治療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非侵入性呼吸器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侵入性呼吸器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呼吸器之基本設定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脫離呼吸器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呼吸衰竭、急性呼吸窘迫症候群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(ARDS)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肋膜液檢查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肋膜積水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睡眠呼吸停止症候群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阻塞性、中樞性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肺癌</w:t>
      </w:r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complaint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呑嚥困難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LAB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判讀相關：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肝功能異常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黃疸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腹水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腸胃道出血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胃、十二指腸潰瘍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(IBS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IBD)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肝：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急性肝損傷、急性肝衰竭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肝炎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病毒性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酒精性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毒素、藥物性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NAFLD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MAFLD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免疫性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肝硬化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肝腫瘤、肝癌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腹膜炎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肝臟一其他</w:t>
      </w:r>
      <w:r>
        <w:rPr>
          <w:rFonts w:ascii="微軟正黑體" w:eastAsia="微軟正黑體" w:hAnsi="微軟正黑體" w:cs="Calibri" w:hint="eastAsia"/>
          <w:sz w:val="22"/>
          <w:szCs w:val="22"/>
        </w:rPr>
        <w:t>(Budd-Chiari syndrome)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膽囊疾病、胰臟疾病</w:t>
      </w:r>
      <w:hyperlink r:id="rId10" w:anchor="外科&amp;section-id={3DCF7DF0-1434-4FA1-852D-65472B53D59C}&amp;page-id={FF1545DF-4AA7-4C5A-A501-7489C17562A8}&amp;object-id={2402BB6F-5DE8-43F1-928B-6DDA52B5799A}&amp;6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[GS]</w:t>
        </w:r>
      </w:hyperlink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NEPHRO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水腫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酸鹼平衡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觀念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診斷流程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代謝性酸中毒臨床狀況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代謝性酸中毒流程圖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代謝鹼中毒臨床狀況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臨床實力演練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離子平衡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高低血鈉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高低血鉀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</w:p>
    <w:p w:rsidR="001E69FF" w:rsidRDefault="001E6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sz w:val="22"/>
          <w:szCs w:val="22"/>
        </w:rPr>
        <w:t>生理、疾病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高低血磷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高低血鎂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急性腎損傷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腎臟疾病各論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(nephrotic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neprhitic syndrome)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(Glomerular disease)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(Tubular disease)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腎間質疾病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(Interstitial disease)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慢性腎臟病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急性腎衰竭和慢性腎衰竭的鑑別診斷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分級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病因分類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尿毒症毒素</w:t>
      </w:r>
      <w:r>
        <w:rPr>
          <w:rFonts w:ascii="微軟正黑體" w:eastAsia="微軟正黑體" w:hAnsi="微軟正黑體" w:cs="Calibri" w:hint="eastAsia"/>
          <w:sz w:val="22"/>
          <w:szCs w:val="22"/>
        </w:rPr>
        <w:t>(Uremic toxin)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慢性腎衰竭的治療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減慢慢性腎衰竭的惡化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何時開始使用透析治療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透析治療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透析的選擇因素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(Hemodialysis, HD)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(Peritoneal dialysis, PD)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多囊性腎病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腎臟移植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[URO]</w:t>
      </w:r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META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代謝症候群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(Metabolic syndrome)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腦垂體疾病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甲狀腺疾病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甲狀腺相關激素生理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Glucocorticoid</w:t>
      </w:r>
      <w:r>
        <w:rPr>
          <w:rFonts w:ascii="微軟正黑體" w:eastAsia="微軟正黑體" w:hAnsi="微軟正黑體" w:cs="Calibri" w:hint="eastAsia"/>
          <w:sz w:val="22"/>
          <w:szCs w:val="22"/>
        </w:rPr>
        <w:t>生化、生理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CAH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syndrome/disease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Adrenal insufficiency/crisis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腎上腺腫瘤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糖尿病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糖尿病致病機轉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八大惡兆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糖尿病前期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糖尿病的分類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成年人治療目標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住院病患的血糖控制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糖尿病藥物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胰島素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糖尿病急性併發症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(HHS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DKA)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糖尿病慢性併發症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(Macrovascular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Microvascular)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懷孕與糖尿病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高尿酸血症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副甲狀腺與鈣離子平衡</w:t>
      </w:r>
      <w:hyperlink r:id="rId11" w:anchor="內科&amp;section-id={3DCF7DF0-1434-4FA1-852D-65472B53D59C}&amp;page-id={51DAA190-9362-490B-ABA5-DD4CE189AFE6}&amp;object-id={4123B16F-F333-46AA-B8B6-B746F42701F6}&amp;F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[Nephro]</w:t>
        </w:r>
      </w:hyperlink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1(</w:t>
      </w:r>
      <w:r>
        <w:rPr>
          <w:rFonts w:ascii="微軟正黑體" w:eastAsia="微軟正黑體" w:hAnsi="微軟正黑體" w:cs="Calibri" w:hint="eastAsia"/>
          <w:sz w:val="22"/>
          <w:szCs w:val="22"/>
        </w:rPr>
        <w:t>激素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2(</w:t>
      </w: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維他命</w:t>
      </w:r>
      <w:r>
        <w:rPr>
          <w:rFonts w:ascii="微軟正黑體" w:eastAsia="微軟正黑體" w:hAnsi="微軟正黑體" w:cs="Calibri" w:hint="eastAsia"/>
          <w:sz w:val="22"/>
          <w:szCs w:val="22"/>
        </w:rPr>
        <w:t>D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骨質軟化症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(osteomalacia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Ricket)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脂肪代謝異常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性腺疾病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神經內分泌腫瘤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(Neuroendocrine tumor)</w:t>
      </w:r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Infection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中樞神經感染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細菌性腦膜炎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(Bacterial meningitis)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(Streptococcus </w:t>
      </w:r>
      <w:r>
        <w:rPr>
          <w:rFonts w:ascii="微軟正黑體" w:eastAsia="微軟正黑體" w:hAnsi="微軟正黑體" w:cs="Calibri" w:hint="eastAsia"/>
          <w:sz w:val="22"/>
          <w:szCs w:val="22"/>
        </w:rPr>
        <w:t>sp.)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(meningitidis)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軟組織感染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腸胃道感染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依細菌分類的感染症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革蘭氏陽性球菌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革蘭氏陽性桿菌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革蘭氏陰性球菌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革蘭氏陰性桿菌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革蘭氏陰性螺旋菌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革蘭氏陰性絕對胞內寄生菌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立克次體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細菌抗生素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抑制細胞壁製造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抑制蛋白質生成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破壞細胞膜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抑制核酸複製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細菌性抗生素其他重點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厭氧菌抗生素整理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抗生素選擇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病毒學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(NakedDNAViruses)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腸胃道感染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蟲媒病毒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(Arbovirus)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導致呼吸道疾病的病毒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人畜共通疾病的病毒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抗病毒藥物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(Antiviral Agents)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愛滋病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黴菌學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原蟲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變形蟲綱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孢子蟲綱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鞭毛蟲綱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法定傳染病通報</w:t>
      </w:r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RHEUMA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紅斑性狼瘡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其他結締組織病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抗核抗體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(Anti-nuclear antibody, ANA)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修格蘭氏症候群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(Sjögren's syndrome, SS)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全身性硬化症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scleroderma, SSc)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多肌炎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(Dermatomyositis/Polymyositis, DM/PM)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混合結締組織病</w:t>
      </w:r>
      <w:r>
        <w:rPr>
          <w:rFonts w:ascii="微軟正黑體" w:eastAsia="微軟正黑體" w:hAnsi="微軟正黑體" w:cs="Calibri" w:hint="eastAsia"/>
          <w:sz w:val="22"/>
          <w:szCs w:val="22"/>
        </w:rPr>
        <w:t>(Mixed connective tissue disease, MCTD)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血管炎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血清陰性脊椎關節病變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關節炎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鑑別診斷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退化性關節炎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(Osteoarthritis, OA)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痛風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(Gouty arthritis, GA)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沉積病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(Calcium pyrophosphate dihydrate, CPPD)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(Septic arthritis)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類風濕性關節炎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過敏疾病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(Hypersensitivity)</w:t>
      </w:r>
      <w:r>
        <w:rPr>
          <w:rFonts w:ascii="微軟正黑體" w:eastAsia="微軟正黑體" w:hAnsi="微軟正黑體" w:cs="Calibri" w:hint="eastAsia"/>
          <w:sz w:val="22"/>
          <w:szCs w:val="22"/>
        </w:rPr>
        <w:t>的定義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anaphylaxis)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Urticaria and angioedema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過敏性鼻炎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(Allergic rhinitis)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自體免疫疾病統整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免疫學觀念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補體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抗原呈現細胞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(APC)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>Tcell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免疫球蛋白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結節病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(Sarcoidosis)</w:t>
      </w:r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HEMA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血液相關檢查判讀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貧血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臨床診斷導向分類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sz w:val="22"/>
          <w:szCs w:val="22"/>
        </w:rPr>
        <w:t>Reticulocyte Production Index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(Microcytic anemia)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(Macrocytic anemia)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全血球減少症</w:t>
      </w:r>
      <w:r>
        <w:rPr>
          <w:rFonts w:ascii="微軟正黑體" w:eastAsia="微軟正黑體" w:hAnsi="微軟正黑體" w:cs="Calibri" w:hint="eastAsia"/>
          <w:sz w:val="22"/>
          <w:szCs w:val="22"/>
        </w:rPr>
        <w:t>(Pancytopenia)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凝血異常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比較</w:t>
      </w:r>
      <w:r>
        <w:rPr>
          <w:rFonts w:ascii="微軟正黑體" w:eastAsia="微軟正黑體" w:hAnsi="微軟正黑體" w:cs="Calibri" w:hint="eastAsia"/>
          <w:sz w:val="22"/>
          <w:szCs w:val="22"/>
        </w:rPr>
        <w:t>Primary hemostasis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Prmary hemostasis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血栓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急性白血病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依染色、表面抗原鑑別診斷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基因轉位整理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血液抹片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急性骨髓細胞白血病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急性淋巴細胞白血病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前骨髓細胞白血病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慢性骨髓性增生性疾病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Chronic </w:t>
      </w:r>
      <w:r>
        <w:rPr>
          <w:rFonts w:ascii="微軟正黑體" w:eastAsia="微軟正黑體" w:hAnsi="微軟正黑體" w:cs="Calibri" w:hint="eastAsia"/>
          <w:sz w:val="22"/>
          <w:szCs w:val="22"/>
        </w:rPr>
        <w:t>myelogenous leukemia(CML)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Polycythemia vera(PV)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Essential thrombocytothemia(ET)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淋巴瘤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漿細胞疾病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輸血</w:t>
      </w:r>
    </w:p>
    <w:p w:rsidR="001E69FF" w:rsidRDefault="001E69F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ONCO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腫瘤特徵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(Tumor marker)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(Stain)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病毒感染與腫瘤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(Infection vs Cancer)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化學治療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Cell cycle non-specific(CCNS)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 phase(Antimetabolite)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G2 phase(Topoisomerase inhibitors</w:t>
      </w:r>
      <w:r>
        <w:rPr>
          <w:rFonts w:ascii="微軟正黑體" w:eastAsia="微軟正黑體" w:hAnsi="微軟正黑體" w:cs="Calibri" w:hint="eastAsia"/>
          <w:sz w:val="22"/>
          <w:szCs w:val="22"/>
        </w:rPr>
        <w:t>、拓樸異構酶抑制劑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 phase(Mitotic spindle inhibitors)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G1 phase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整理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腫瘤對化療藥物的敏感性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化療藥物副作用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腫瘤各論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頭頸癌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cancer)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anchor="🍖GS|胃&amp;section-id={BC9E9AED-B5B5-4309-97AF-D04A7DB9E34C}&amp;page-id={B9B7AADF-6AAE-441E-9115-88F8FF9E4F5A}&amp;object-id={B2638375-00EF-46F7-8501-F0482FE3C111}&amp;C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胃癌</w:t>
        </w:r>
      </w:hyperlink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anchor="CVS|食道癌&amp;section-id={BC9E9AED-B5B5-4309-97AF-D04A7DB9E34C}&amp;page-id={88ABA582-25FA-4BB9-96BC-A94F2A448DE0}&amp;end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食道癌</w:t>
        </w:r>
      </w:hyperlink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(Colorectal cancer)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婦癌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子宮頸癌、子宮內膜癌、卵巢癌、陰道癌、外陰癌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腎臟癌、泌尿道上皮癌、膀胱癌、攝護腺癌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Thyroid/parathyroid/pituitary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腦瘤、脊椎腫瘤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(Sarcoma)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(Carcinoid)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腫瘤旁症候群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(paraneoplastic syndrome)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腫瘤急症</w:t>
      </w:r>
    </w:p>
    <w:p w:rsidR="001E69FF" w:rsidRDefault="001E69F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家醫科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家庭醫業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家戶型態與家庭評估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以病人為中心的全人健康照護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行為科學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建立良好醫病溝通的技巧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醫病溝通的形式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跨越理論模式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戒菸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PRECEDE-PROCEED</w:t>
      </w:r>
      <w:r>
        <w:rPr>
          <w:rFonts w:ascii="微軟正黑體" w:eastAsia="微軟正黑體" w:hAnsi="微軟正黑體" w:cs="Calibri" w:hint="eastAsia"/>
          <w:sz w:val="22"/>
          <w:szCs w:val="22"/>
        </w:rPr>
        <w:t>模式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社區取向的基層醫療保健</w:t>
      </w:r>
      <w:r>
        <w:rPr>
          <w:rFonts w:ascii="微軟正黑體" w:eastAsia="微軟正黑體" w:hAnsi="微軟正黑體" w:cs="Calibri" w:hint="eastAsia"/>
          <w:sz w:val="22"/>
          <w:szCs w:val="22"/>
        </w:rPr>
        <w:t>(COPC)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渥太華健康促進宣言與醫師憲章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社區醫學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社區體系的追求目標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老年醫學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青少年醫學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職業醫學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肥胖症與代謝症候群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生活型態改變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(S-ABCDE)</w:t>
      </w:r>
      <w:r>
        <w:rPr>
          <w:rFonts w:ascii="微軟正黑體" w:eastAsia="微軟正黑體" w:hAnsi="微軟正黑體" w:cs="Calibri" w:hint="eastAsia"/>
          <w:sz w:val="22"/>
          <w:szCs w:val="22"/>
        </w:rPr>
        <w:t>對於血的影響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預防醫學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疾病的三段五級預防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週期性健康檢查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旅遊醫學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婦幼保健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緩和醫療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緩和醫療的倫理原則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安寧緩和醫療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不施行心肺復甦術</w:t>
      </w:r>
      <w:r>
        <w:rPr>
          <w:rFonts w:ascii="微軟正黑體" w:eastAsia="微軟正黑體" w:hAnsi="微軟正黑體" w:cs="Calibri" w:hint="eastAsia"/>
          <w:sz w:val="22"/>
          <w:szCs w:val="22"/>
        </w:rPr>
        <w:t>(DNR)</w:t>
      </w:r>
    </w:p>
    <w:p w:rsidR="001E69FF" w:rsidRDefault="001E69F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特定議題</w:t>
      </w:r>
    </w:p>
    <w:p w:rsidR="001E69FF" w:rsidRDefault="001E6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基層醫療常見疾病：憂鬱症、恐慌症、低落性情感疾患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(LAB</w:t>
      </w:r>
      <w:r>
        <w:rPr>
          <w:rFonts w:ascii="微軟正黑體" w:eastAsia="微軟正黑體" w:hAnsi="微軟正黑體" w:cs="Calibri" w:hint="eastAsia"/>
          <w:sz w:val="22"/>
          <w:szCs w:val="22"/>
        </w:rPr>
        <w:t>、影像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特殊量表、</w:t>
      </w:r>
      <w:r>
        <w:rPr>
          <w:rFonts w:ascii="微軟正黑體" w:eastAsia="微軟正黑體" w:hAnsi="微軟正黑體" w:cs="Calibri" w:hint="eastAsia"/>
          <w:sz w:val="22"/>
          <w:szCs w:val="22"/>
        </w:rPr>
        <w:t>score)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</w:t>
      </w:r>
    </w:p>
    <w:p w:rsidR="001E69FF" w:rsidRDefault="001E69F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69FF" w:rsidRDefault="001E69FF" w:rsidP="001E69FF">
      <w:r>
        <w:separator/>
      </w:r>
    </w:p>
  </w:endnote>
  <w:endnote w:type="continuationSeparator" w:id="0">
    <w:p w:rsidR="001E69FF" w:rsidRDefault="001E69FF" w:rsidP="001E6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69FF" w:rsidRDefault="001E69FF" w:rsidP="001E69FF">
      <w:r>
        <w:separator/>
      </w:r>
    </w:p>
  </w:footnote>
  <w:footnote w:type="continuationSeparator" w:id="0">
    <w:p w:rsidR="001E69FF" w:rsidRDefault="001E69FF" w:rsidP="001E6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21A"/>
    <w:multiLevelType w:val="multilevel"/>
    <w:tmpl w:val="F98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3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FF"/>
    <w:rsid w:val="001E69FF"/>
    <w:rsid w:val="00E1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67B519-6A08-4415-8E9B-09A0544A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E6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69F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E6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69F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&#22806;&#31185;.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