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6783" w:rsidRDefault="00AE6783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Pneumonia</w:t>
      </w:r>
    </w:p>
    <w:p w:rsidR="00AE6783" w:rsidRDefault="00AE678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AE6783" w:rsidRDefault="00AE678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AE6783" w:rsidRDefault="00AE678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E6783" w:rsidRDefault="00AE678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肺炎是指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肺泡實質發炎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，由細菌、病毒、真菌或其他病原體引起。根據感染來源分類為：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Community-Acquired Pneumonia (CAP)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：社區中獲得的肺部感染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Hospital-Acquired Pneumonia (HAP)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：住院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小時後發生的肺炎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Ventilator-Associated Pneumonia (VAP)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：插管通氣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&gt;48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小時後發生的肺炎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Health-Care Associated Pneumonia (HCAP)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：曾就醫且具多重抗藥菌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(Multidrug-Resistant, MDR)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感染風險者（已不再推薦使用此分類）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5"/>
        <w:gridCol w:w="3591"/>
        <w:gridCol w:w="1900"/>
      </w:tblGrid>
      <w:tr w:rsidR="00000000">
        <w:trPr>
          <w:divId w:val="1316227038"/>
        </w:trPr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常見風險因子</w:t>
            </w:r>
          </w:p>
        </w:tc>
      </w:tr>
      <w:tr w:rsidR="00000000">
        <w:trPr>
          <w:divId w:val="1316227038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（社區型肺炎）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發病時未住院或發病前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48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小時未住院</w:t>
            </w:r>
          </w:p>
        </w:tc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吸菸、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、老年、糖尿病</w:t>
            </w:r>
          </w:p>
        </w:tc>
      </w:tr>
      <w:tr w:rsidR="00000000">
        <w:trPr>
          <w:divId w:val="1316227038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（醫院獲得性肺炎）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入院超過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48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小時後出現症狀且未插管</w:t>
            </w:r>
          </w:p>
        </w:tc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長期住院、侵入性檢查、抗生素使用史</w:t>
            </w:r>
          </w:p>
        </w:tc>
      </w:tr>
      <w:tr w:rsidR="00000000">
        <w:trPr>
          <w:divId w:val="1316227038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VAP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（呼吸器相關性肺炎）</w:t>
            </w:r>
          </w:p>
        </w:tc>
        <w:tc>
          <w:tcPr>
            <w:tcW w:w="4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插管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48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小時後出現新浸潤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感染徵象</w:t>
            </w:r>
          </w:p>
        </w:tc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長期插管、氣管內管、抗生素暴露</w:t>
            </w:r>
          </w:p>
        </w:tc>
      </w:tr>
      <w:tr w:rsidR="00000000">
        <w:trPr>
          <w:divId w:val="1316227038"/>
        </w:trPr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HCAP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（醫療照護相關肺炎）</w:t>
            </w:r>
          </w:p>
        </w:tc>
        <w:tc>
          <w:tcPr>
            <w:tcW w:w="4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非住院者但有以下之一：住院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天（過去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90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天）、長照機構、近期抗生素、化療、洗腎等</w:t>
            </w:r>
          </w:p>
        </w:tc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預設有多重抗藥菌風險</w:t>
            </w:r>
          </w:p>
        </w:tc>
      </w:tr>
    </w:tbl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CAP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常見致病菌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9"/>
        <w:gridCol w:w="5657"/>
      </w:tblGrid>
      <w:tr w:rsidR="00000000">
        <w:trPr>
          <w:divId w:val="55177158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環境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常見病原</w:t>
            </w:r>
          </w:p>
        </w:tc>
      </w:tr>
      <w:tr w:rsidR="00000000">
        <w:trPr>
          <w:divId w:val="55177158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門診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Strep.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Mycoplasma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H. influenzae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呼吸道病毒</w:t>
            </w:r>
          </w:p>
        </w:tc>
      </w:tr>
      <w:tr w:rsidR="00000000">
        <w:trPr>
          <w:divId w:val="55177158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住院（非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Chlamydia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Legionella spp.</w:t>
            </w:r>
          </w:p>
        </w:tc>
      </w:tr>
      <w:tr w:rsidR="00000000">
        <w:trPr>
          <w:divId w:val="55177158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 G(-) bacilli</w:t>
            </w:r>
          </w:p>
        </w:tc>
      </w:tr>
    </w:tbl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常見致病菌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9"/>
        <w:gridCol w:w="5877"/>
      </w:tblGrid>
      <w:tr w:rsidR="00000000">
        <w:trPr>
          <w:divId w:val="32474430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臨床背景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可能病原</w:t>
            </w:r>
          </w:p>
        </w:tc>
      </w:tr>
      <w:tr w:rsidR="00000000">
        <w:trPr>
          <w:divId w:val="32474430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酒精中毒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Klebsiella,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厭氧菌</w:t>
            </w:r>
          </w:p>
        </w:tc>
      </w:tr>
      <w:tr w:rsidR="00000000">
        <w:trPr>
          <w:divId w:val="32474430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H. influenzae, P. aeruginosa</w:t>
            </w:r>
          </w:p>
        </w:tc>
      </w:tr>
      <w:tr w:rsidR="00000000">
        <w:trPr>
          <w:divId w:val="32474430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結構性肺病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P. aeruginosa, B. cepacia</w:t>
            </w:r>
          </w:p>
        </w:tc>
      </w:tr>
      <w:tr w:rsidR="00000000">
        <w:trPr>
          <w:divId w:val="32474430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吸入性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厭氧菌</w:t>
            </w:r>
          </w:p>
        </w:tc>
      </w:tr>
      <w:tr w:rsidR="00000000">
        <w:trPr>
          <w:divId w:val="32474430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旅行史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Legionella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（飯店）、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Histoplasma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（美國中西部）、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Coccidioides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（美國西南）</w:t>
            </w:r>
          </w:p>
        </w:tc>
      </w:tr>
      <w:tr w:rsidR="00000000">
        <w:trPr>
          <w:divId w:val="32474430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養鳥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Chlamydia psittaci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Histoplasma capsulatum</w:t>
            </w:r>
          </w:p>
        </w:tc>
      </w:tr>
      <w:tr w:rsidR="00000000">
        <w:trPr>
          <w:divId w:val="324744307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兔子接觸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Francisella tularensis</w:t>
            </w:r>
          </w:p>
        </w:tc>
      </w:tr>
    </w:tbl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病理與病程（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吸入（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aspiration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為最常見感染來源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初期由肺泡巨噬細胞清除，但當免疫過載時誘發免疫反應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發炎導致：肺泡滲出、低氧血症、聽診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Rales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X-ray Infiltrate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細菌引起的典型進程（</w:t>
      </w:r>
      <w:r>
        <w:rPr>
          <w:rFonts w:ascii="Google Sans Text" w:hAnsi="Google Sans Text" w:cs="Calibri"/>
          <w:color w:val="131314"/>
          <w:sz w:val="28"/>
          <w:szCs w:val="28"/>
        </w:rPr>
        <w:t>這種模式最適用於葉狀肺炎鏈球菌肺炎，可能不適用於所有病因的肺炎，特別是病毒性或肺囊蟲肺炎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AE6783" w:rsidRDefault="00AE6783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Edema phase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：初期階段水腫，蛋白滲出、早期發炎</w:t>
      </w:r>
    </w:p>
    <w:p w:rsidR="00AE6783" w:rsidRDefault="00AE6783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Red hepatization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：紅血球與中性球滲出</w:t>
      </w:r>
    </w:p>
    <w:p w:rsidR="00AE6783" w:rsidRDefault="00AE6783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Gray hepatization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：紅血球裂解、纖維素堆積</w:t>
      </w:r>
    </w:p>
    <w:p w:rsidR="00AE6783" w:rsidRDefault="00AE6783">
      <w:pPr>
        <w:numPr>
          <w:ilvl w:val="3"/>
          <w:numId w:val="5"/>
        </w:numPr>
        <w:textAlignment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Resolution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：巨噬細胞清除殘渣</w:t>
      </w:r>
    </w:p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19"/>
        <w:gridCol w:w="4133"/>
      </w:tblGrid>
      <w:tr w:rsidR="00000000">
        <w:trPr>
          <w:divId w:val="1646471115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646471115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發燒、寒顫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最常見症狀</w:t>
            </w:r>
          </w:p>
        </w:tc>
      </w:tr>
      <w:tr w:rsidR="00000000">
        <w:trPr>
          <w:divId w:val="1646471115"/>
        </w:trPr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咳嗽、痰（可能帶血）</w:t>
            </w:r>
          </w:p>
        </w:tc>
        <w:tc>
          <w:tcPr>
            <w:tcW w:w="4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若有血痰，考慮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CA-MRSA</w:t>
            </w:r>
          </w:p>
        </w:tc>
      </w:tr>
      <w:tr w:rsidR="00000000">
        <w:trPr>
          <w:divId w:val="1646471115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可伴胸痛（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pleuritic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46471115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肺部體徵</w:t>
            </w:r>
          </w:p>
        </w:tc>
        <w:tc>
          <w:tcPr>
            <w:tcW w:w="4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crackles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、支氣管呼吸音、觸覺震顫變化</w:t>
            </w:r>
          </w:p>
        </w:tc>
      </w:tr>
      <w:tr w:rsidR="00000000">
        <w:trPr>
          <w:divId w:val="1646471115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老年人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可能僅有意識改變</w:t>
            </w:r>
          </w:p>
        </w:tc>
      </w:tr>
      <w:tr w:rsidR="00000000">
        <w:trPr>
          <w:divId w:val="1646471115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系統性併發症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心肌梗塞、心律不整、心衰竭</w:t>
            </w:r>
          </w:p>
        </w:tc>
      </w:tr>
    </w:tbl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6"/>
          <w:szCs w:val="36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6"/>
          <w:szCs w:val="36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2"/>
        <w:gridCol w:w="5334"/>
      </w:tblGrid>
      <w:tr w:rsidR="00000000">
        <w:trPr>
          <w:divId w:val="78099306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方法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78099306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光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光有助於確認肺炎，但不能判定病原，查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infiltrate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；可見空洞、蜂窩肺等提示特定病原</w:t>
            </w:r>
          </w:p>
        </w:tc>
      </w:tr>
      <w:tr w:rsidR="00000000">
        <w:trPr>
          <w:divId w:val="78099306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血液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痰培養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建議住院者做，痰樣本需合格（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&gt;25 PMN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&lt;10 epithelial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78099306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尿抗原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可快速檢出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S.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Legionella</w:t>
            </w:r>
          </w:p>
        </w:tc>
      </w:tr>
      <w:tr w:rsidR="00000000">
        <w:trPr>
          <w:divId w:val="78099306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PCR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快速檢出病毒、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CP</w:t>
            </w:r>
          </w:p>
        </w:tc>
      </w:tr>
      <w:tr w:rsidR="00000000">
        <w:trPr>
          <w:divId w:val="78099306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Procalcitonin (PCT)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幫助判斷細菌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病毒感染</w:t>
            </w:r>
          </w:p>
        </w:tc>
      </w:tr>
    </w:tbl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CAP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治療原則（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9"/>
        <w:gridCol w:w="5307"/>
      </w:tblGrid>
      <w:tr w:rsidR="00000000">
        <w:trPr>
          <w:divId w:val="131467629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首選治療</w:t>
            </w:r>
          </w:p>
        </w:tc>
      </w:tr>
      <w:tr w:rsidR="00000000">
        <w:trPr>
          <w:divId w:val="131467629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門診，無共病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Amoxicillin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Doxycycline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Macrolide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（地區抗藥性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&lt;25%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1467629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門診，有共病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抗生素史</w:t>
            </w:r>
          </w:p>
        </w:tc>
        <w:tc>
          <w:tcPr>
            <w:tcW w:w="6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Amoxicillin-clavulanate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Cephalosporin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合併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Macrolide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Doxycycline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；或單用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respiratory fluoroquinolone</w:t>
            </w:r>
          </w:p>
        </w:tc>
      </w:tr>
      <w:tr w:rsidR="00000000">
        <w:trPr>
          <w:divId w:val="1314676294"/>
        </w:trPr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住院（非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-lactam + macrolide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fluoroquinolone</w:t>
            </w:r>
          </w:p>
        </w:tc>
      </w:tr>
      <w:tr w:rsidR="00000000">
        <w:trPr>
          <w:divId w:val="131467629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-lactam +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macrolide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-lactam + fluoroquinolone</w:t>
            </w:r>
          </w:p>
        </w:tc>
      </w:tr>
      <w:tr w:rsidR="00000000">
        <w:trPr>
          <w:divId w:val="1314676294"/>
        </w:trPr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疑似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Pseudomonas</w:t>
            </w:r>
          </w:p>
        </w:tc>
        <w:tc>
          <w:tcPr>
            <w:tcW w:w="6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Pseudo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-lactam + Fluoroquinolone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Aminoglycoside</w:t>
            </w:r>
          </w:p>
        </w:tc>
      </w:tr>
      <w:tr w:rsidR="00000000">
        <w:trPr>
          <w:divId w:val="1314676294"/>
        </w:trPr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疑似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CA-MRSA</w:t>
            </w:r>
          </w:p>
        </w:tc>
        <w:tc>
          <w:tcPr>
            <w:tcW w:w="6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加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Linezolid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Vancomycin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Clindamycin </w:t>
            </w:r>
          </w:p>
        </w:tc>
      </w:tr>
    </w:tbl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HAP / VAP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治療建議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MDR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Multidrug-Resistant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單一抗生素足夠（如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 xml:space="preserve"> cefepime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piperacillin-tazobactam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MDR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危險因子：建議三合一療法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vancomycin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linezolid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兩抗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Pseudomonas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（不同機轉，如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-lactam + fluoroquinolone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aminoglycoside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MDR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危險因子包括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：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近期抗生素使用（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90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天內）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機構照護（如長照）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結構性肺病、免疫抑制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高區域性抗藥性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治療天數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以上，且需無發燒至少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48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72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小時，臨床穩定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若有合併症、重症、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Pseudo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HAP/VAP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</w:t>
      </w:r>
    </w:p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嚴重度評估與住院指標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CURB-65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Confusion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Urea &gt; 7 mmol/L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RR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30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BP &lt; 90/60 mmHg</w:t>
      </w:r>
    </w:p>
    <w:p w:rsidR="00AE6783" w:rsidRDefault="00AE678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65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得分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建議住院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PSI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Pneumonia Severity Index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預測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CAP </w:t>
      </w:r>
      <w:r>
        <w:rPr>
          <w:rFonts w:ascii="微軟正黑體" w:eastAsia="微軟正黑體" w:hAnsi="微軟正黑體" w:cs="Calibri" w:hint="eastAsia"/>
          <w:sz w:val="22"/>
          <w:szCs w:val="22"/>
        </w:rPr>
        <w:t>病患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 </w:t>
      </w:r>
      <w:r>
        <w:rPr>
          <w:rFonts w:ascii="微軟正黑體" w:eastAsia="微軟正黑體" w:hAnsi="微軟正黑體" w:cs="Calibri" w:hint="eastAsia"/>
          <w:sz w:val="22"/>
          <w:szCs w:val="22"/>
        </w:rPr>
        <w:t>天內死亡風險，輔助決定是否住院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評估多項臨床變數，具良好敏感度與特異性，詳列年齡、共病、檢查數據，分五級（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AE6783" w:rsidRDefault="00AE678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計分較複雜、不利快速床邊使用</w:t>
      </w:r>
    </w:p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常見併發症（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4674"/>
      </w:tblGrid>
      <w:tr w:rsidR="00000000">
        <w:trPr>
          <w:divId w:val="194264291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併發症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94264291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</w:p>
        </w:tc>
      </w:tr>
      <w:tr w:rsidR="00000000">
        <w:trPr>
          <w:divId w:val="194264291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心臟事件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心肌梗塞、心律不整</w:t>
            </w:r>
          </w:p>
        </w:tc>
      </w:tr>
      <w:tr w:rsidR="00000000">
        <w:trPr>
          <w:divId w:val="194264291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肺膿瘍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特別是厭氧菌、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CA-MRSA</w:t>
            </w:r>
          </w:p>
        </w:tc>
      </w:tr>
      <w:tr w:rsidR="00000000">
        <w:trPr>
          <w:divId w:val="1942642917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膿胸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需胸管引流，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 &lt; 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LDH &gt; 1000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40</w:t>
            </w:r>
          </w:p>
        </w:tc>
      </w:tr>
      <w:tr w:rsidR="00000000">
        <w:trPr>
          <w:divId w:val="1942642917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敗血性轉移</w:t>
            </w:r>
          </w:p>
        </w:tc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罕見：腦膿瘍、心內膜炎</w:t>
            </w:r>
          </w:p>
        </w:tc>
      </w:tr>
    </w:tbl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AE6783" w:rsidRDefault="00AE678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預防（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Prevention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6"/>
        <w:gridCol w:w="2868"/>
      </w:tblGrid>
      <w:tr w:rsidR="00000000">
        <w:trPr>
          <w:divId w:val="1353997012"/>
        </w:trPr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疫苗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對象</w:t>
            </w:r>
          </w:p>
        </w:tc>
      </w:tr>
      <w:tr w:rsidR="00000000">
        <w:trPr>
          <w:divId w:val="1353997012"/>
        </w:trPr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PCV13 / PPSV23</w:t>
            </w:r>
          </w:p>
        </w:tc>
        <w:tc>
          <w:tcPr>
            <w:tcW w:w="2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老人、慢性病者</w:t>
            </w:r>
          </w:p>
        </w:tc>
      </w:tr>
      <w:tr w:rsidR="00000000">
        <w:trPr>
          <w:divId w:val="1353997012"/>
        </w:trPr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流感疫苗</w:t>
            </w:r>
          </w:p>
        </w:tc>
        <w:tc>
          <w:tcPr>
            <w:tcW w:w="2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每年接種，預防第二性肺炎</w:t>
            </w:r>
          </w:p>
        </w:tc>
      </w:tr>
      <w:tr w:rsidR="00000000">
        <w:trPr>
          <w:divId w:val="1353997012"/>
        </w:trPr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戒菸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E6783" w:rsidRDefault="00AE678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減少發病與重症率</w:t>
            </w:r>
          </w:p>
        </w:tc>
      </w:tr>
    </w:tbl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</w:t>
      </w:r>
    </w:p>
    <w:p w:rsidR="00AE6783" w:rsidRDefault="00AE6783">
      <w:pPr>
        <w:numPr>
          <w:ilvl w:val="1"/>
          <w:numId w:val="7"/>
        </w:numPr>
        <w:textAlignment w:val="center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Harrisons</w:t>
      </w:r>
    </w:p>
    <w:p w:rsidR="00AE6783" w:rsidRDefault="00AE6783">
      <w:pPr>
        <w:numPr>
          <w:ilvl w:val="1"/>
          <w:numId w:val="7"/>
        </w:numPr>
        <w:textAlignment w:val="center"/>
        <w:rPr>
          <w:rFonts w:ascii="Calibri" w:hAnsi="Calibri" w:cs="Calibri"/>
          <w:sz w:val="32"/>
          <w:szCs w:val="3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http://www.idsroc.org.tw/DB/health/24.pdf?v=2025529215528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台灣肺炎診治指引</w:t>
      </w:r>
    </w:p>
    <w:p w:rsidR="00AE6783" w:rsidRDefault="00AE678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6783" w:rsidRDefault="00AE6783" w:rsidP="00AE6783">
      <w:r>
        <w:separator/>
      </w:r>
    </w:p>
  </w:endnote>
  <w:endnote w:type="continuationSeparator" w:id="0">
    <w:p w:rsidR="00AE6783" w:rsidRDefault="00AE6783" w:rsidP="00AE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 Text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6783" w:rsidRDefault="00AE6783" w:rsidP="00AE6783">
      <w:r>
        <w:separator/>
      </w:r>
    </w:p>
  </w:footnote>
  <w:footnote w:type="continuationSeparator" w:id="0">
    <w:p w:rsidR="00AE6783" w:rsidRDefault="00AE6783" w:rsidP="00AE6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F11EC"/>
    <w:multiLevelType w:val="multilevel"/>
    <w:tmpl w:val="1D7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028061">
    <w:abstractNumId w:val="0"/>
  </w:num>
  <w:num w:numId="2" w16cid:durableId="1382746788">
    <w:abstractNumId w:val="0"/>
    <w:lvlOverride w:ilvl="3">
      <w:lvl w:ilvl="3">
        <w:numFmt w:val="decimal"/>
        <w:lvlText w:val="%4."/>
        <w:lvlJc w:val="left"/>
      </w:lvl>
    </w:lvlOverride>
  </w:num>
  <w:num w:numId="3" w16cid:durableId="589003217">
    <w:abstractNumId w:val="0"/>
    <w:lvlOverride w:ilvl="3">
      <w:startOverride w:val="1"/>
    </w:lvlOverride>
  </w:num>
  <w:num w:numId="4" w16cid:durableId="1322779599">
    <w:abstractNumId w:val="0"/>
    <w:lvlOverride w:ilvl="3">
      <w:lvl w:ilvl="3">
        <w:numFmt w:val="decimal"/>
        <w:lvlText w:val="%4."/>
        <w:lvlJc w:val="left"/>
      </w:lvl>
    </w:lvlOverride>
  </w:num>
  <w:num w:numId="5" w16cid:durableId="1428504436">
    <w:abstractNumId w:val="0"/>
    <w:lvlOverride w:ilvl="3">
      <w:startOverride w:val="4"/>
    </w:lvlOverride>
  </w:num>
  <w:num w:numId="6" w16cid:durableId="97216819">
    <w:abstractNumId w:val="0"/>
    <w:lvlOverride w:ilvl="1">
      <w:lvl w:ilvl="1">
        <w:numFmt w:val="decimal"/>
        <w:lvlText w:val="%2."/>
        <w:lvlJc w:val="left"/>
      </w:lvl>
    </w:lvlOverride>
  </w:num>
  <w:num w:numId="7" w16cid:durableId="25024114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83"/>
    <w:rsid w:val="008C150B"/>
    <w:rsid w:val="00A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BD1303-3B34-4777-BE46-811935AE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AE67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E6783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E67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E678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74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dsroc.org.tw/DB/health/24.pdf?v=2025529215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