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5978" w:rsidRDefault="00915978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Pleural effusion</w:t>
      </w:r>
    </w:p>
    <w:p w:rsidR="00915978" w:rsidRDefault="0091597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915978" w:rsidRDefault="0091597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915978" w:rsidRDefault="0091597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15978" w:rsidRDefault="00915978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15978" w:rsidRDefault="0091597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15978" w:rsidRDefault="0091597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15978" w:rsidRDefault="0091597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15978" w:rsidRDefault="0091597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15978" w:rsidRDefault="0091597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15978" w:rsidRDefault="00915978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</w:t>
      </w:r>
    </w:p>
    <w:p w:rsidR="00915978" w:rsidRDefault="0091597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肋膜積液一般是由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parietal </w:t>
      </w:r>
      <w:r>
        <w:rPr>
          <w:rFonts w:ascii="微軟正黑體" w:eastAsia="微軟正黑體" w:hAnsi="微軟正黑體" w:cs="Calibri" w:hint="eastAsia"/>
          <w:sz w:val="28"/>
          <w:szCs w:val="28"/>
        </w:rPr>
        <w:t>pleura</w:t>
      </w:r>
      <w:r>
        <w:rPr>
          <w:rFonts w:ascii="微軟正黑體" w:eastAsia="微軟正黑體" w:hAnsi="微軟正黑體" w:cs="Calibri" w:hint="eastAsia"/>
          <w:sz w:val="28"/>
          <w:szCs w:val="28"/>
        </w:rPr>
        <w:t>分泌，並且由</w:t>
      </w:r>
      <w:r>
        <w:rPr>
          <w:rFonts w:ascii="微軟正黑體" w:eastAsia="微軟正黑體" w:hAnsi="微軟正黑體" w:cs="Calibri" w:hint="eastAsia"/>
          <w:sz w:val="28"/>
          <w:szCs w:val="28"/>
        </w:rPr>
        <w:t>parietal pleura</w:t>
      </w:r>
      <w:r>
        <w:rPr>
          <w:rFonts w:ascii="微軟正黑體" w:eastAsia="微軟正黑體" w:hAnsi="微軟正黑體" w:cs="Calibri" w:hint="eastAsia"/>
          <w:sz w:val="28"/>
          <w:szCs w:val="28"/>
        </w:rPr>
        <w:t>上的</w:t>
      </w:r>
      <w:r>
        <w:rPr>
          <w:rFonts w:ascii="微軟正黑體" w:eastAsia="微軟正黑體" w:hAnsi="微軟正黑體" w:cs="Calibri" w:hint="eastAsia"/>
          <w:sz w:val="28"/>
          <w:szCs w:val="28"/>
        </w:rPr>
        <w:t>lymphatic drainage</w:t>
      </w:r>
      <w:r>
        <w:rPr>
          <w:rFonts w:ascii="微軟正黑體" w:eastAsia="微軟正黑體" w:hAnsi="微軟正黑體" w:cs="Calibri" w:hint="eastAsia"/>
          <w:sz w:val="28"/>
          <w:szCs w:val="28"/>
        </w:rPr>
        <w:t>吸收</w:t>
      </w:r>
    </w:p>
    <w:p w:rsidR="00915978" w:rsidRDefault="0091597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根據其發生的病生理機轉，主要可區分為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漏出液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(Transudate)</w:t>
      </w:r>
      <w:r>
        <w:rPr>
          <w:rFonts w:ascii="微軟正黑體" w:eastAsia="微軟正黑體" w:hAnsi="微軟正黑體" w:cs="Calibri" w:hint="eastAsia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滲出液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(Exudate)</w:t>
      </w:r>
      <w:r>
        <w:rPr>
          <w:rFonts w:ascii="微軟正黑體" w:eastAsia="微軟正黑體" w:hAnsi="微軟正黑體" w:cs="Calibri" w:hint="eastAsia"/>
          <w:sz w:val="28"/>
          <w:szCs w:val="28"/>
        </w:rPr>
        <w:t>兩種主要類型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3149"/>
        <w:gridCol w:w="3408"/>
      </w:tblGrid>
      <w:tr w:rsidR="00000000">
        <w:trPr>
          <w:divId w:val="13899619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漏出液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(Transudate)</w:t>
            </w:r>
          </w:p>
        </w:tc>
        <w:tc>
          <w:tcPr>
            <w:tcW w:w="3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滲出液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(Exudate)</w:t>
            </w:r>
          </w:p>
        </w:tc>
      </w:tr>
      <w:tr w:rsidR="00000000">
        <w:trPr>
          <w:divId w:val="138996193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全身性因素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所引起。</w:t>
            </w:r>
          </w:p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例如，肺微血管楔壓升高（↑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PCWP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）或膠體滲透壓下降（↓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oncotic pressure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3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局部因素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影響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肋膜表面滲透性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pleural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surface permeability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389961935"/>
        </w:trPr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成因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</w:p>
          <w:p w:rsidR="00915978" w:rsidRDefault="00915978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Liver cirrhosis</w:t>
            </w:r>
          </w:p>
          <w:p w:rsidR="00915978" w:rsidRDefault="00915978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Nephrotic syndrome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Pneumonia (parapneumonic effusion)</w:t>
            </w:r>
          </w:p>
          <w:p w:rsidR="00915978" w:rsidRDefault="00915978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TB</w:t>
            </w:r>
          </w:p>
          <w:p w:rsidR="00915978" w:rsidRDefault="00915978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Malignancy</w:t>
            </w:r>
          </w:p>
          <w:p w:rsidR="00915978" w:rsidRDefault="00915978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</w:t>
            </w:r>
          </w:p>
          <w:p w:rsidR="00915978" w:rsidRDefault="00915978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Collagen vascular disease (rheumatoid arthritis, SLE)</w:t>
            </w:r>
          </w:p>
          <w:p w:rsidR="00915978" w:rsidRDefault="00915978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Pancreatitis</w:t>
            </w:r>
          </w:p>
          <w:p w:rsidR="00915978" w:rsidRDefault="00915978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Trauma</w:t>
            </w:r>
          </w:p>
          <w:p w:rsidR="00915978" w:rsidRDefault="00915978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Chylothorax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triglycerides)</w:t>
            </w:r>
          </w:p>
        </w:tc>
      </w:tr>
    </w:tbl>
    <w:p w:rsidR="00915978" w:rsidRDefault="00915978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lastRenderedPageBreak/>
        <w:t>診斷方式</w:t>
      </w:r>
    </w:p>
    <w:p w:rsidR="00915978" w:rsidRDefault="0091597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病史</w:t>
      </w:r>
      <w:r>
        <w:rPr>
          <w:rFonts w:ascii="微軟正黑體" w:eastAsia="微軟正黑體" w:hAnsi="微軟正黑體" w:cs="Calibri" w:hint="eastAsia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sz w:val="28"/>
          <w:szCs w:val="28"/>
        </w:rPr>
        <w:t>理學檢查</w:t>
      </w:r>
    </w:p>
    <w:p w:rsidR="00915978" w:rsidRDefault="00915978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出現喘、胸痛、咳嗽症狀。</w:t>
      </w:r>
    </w:p>
    <w:p w:rsidR="00915978" w:rsidRDefault="00915978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聽診出現呼吸音降低。扣診有鈍音</w:t>
      </w:r>
      <w:r>
        <w:rPr>
          <w:rFonts w:ascii="微軟正黑體" w:eastAsia="微軟正黑體" w:hAnsi="微軟正黑體" w:cs="Calibri" w:hint="eastAsia"/>
          <w:sz w:val="22"/>
          <w:szCs w:val="22"/>
        </w:rPr>
        <w:t>(dullness)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915978" w:rsidRDefault="00915978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實驗室檢查</w:t>
      </w:r>
      <w:r>
        <w:rPr>
          <w:rFonts w:ascii="微軟正黑體" w:eastAsia="微軟正黑體" w:hAnsi="微軟正黑體" w:cs="Calibri" w:hint="eastAsia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sz w:val="28"/>
          <w:szCs w:val="28"/>
        </w:rPr>
        <w:t>影像檢查</w:t>
      </w:r>
    </w:p>
    <w:p w:rsidR="00915978" w:rsidRDefault="00915978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：肋膈角模糊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(blunting of costophrenic angle)</w:t>
      </w:r>
    </w:p>
    <w:p w:rsidR="00915978" w:rsidRDefault="00915978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肋膜穿刺：透過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Light's criteria</w:t>
      </w:r>
      <w:r>
        <w:rPr>
          <w:rFonts w:ascii="微軟正黑體" w:eastAsia="微軟正黑體" w:hAnsi="微軟正黑體" w:cs="Calibri" w:hint="eastAsia"/>
          <w:sz w:val="22"/>
          <w:szCs w:val="22"/>
        </w:rPr>
        <w:t>分辨是漏出液或是滲出液</w:t>
      </w:r>
    </w:p>
    <w:p w:rsidR="00915978" w:rsidRDefault="00915978">
      <w:pPr>
        <w:numPr>
          <w:ilvl w:val="1"/>
          <w:numId w:val="4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Light's criteria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89"/>
        <w:gridCol w:w="3877"/>
      </w:tblGrid>
      <w:tr w:rsidR="00000000">
        <w:trPr>
          <w:divId w:val="419064540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Measure</w:t>
            </w:r>
          </w:p>
        </w:tc>
        <w:tc>
          <w:tcPr>
            <w:tcW w:w="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Value</w:t>
            </w:r>
          </w:p>
        </w:tc>
      </w:tr>
      <w:tr w:rsidR="00000000">
        <w:trPr>
          <w:divId w:val="419064540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protein/serum protein</w:t>
            </w:r>
          </w:p>
        </w:tc>
        <w:tc>
          <w:tcPr>
            <w:tcW w:w="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0.5</w:t>
            </w:r>
          </w:p>
        </w:tc>
      </w:tr>
      <w:tr w:rsidR="00000000">
        <w:trPr>
          <w:divId w:val="419064540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LDH/serum LDH</w:t>
            </w:r>
          </w:p>
        </w:tc>
        <w:tc>
          <w:tcPr>
            <w:tcW w:w="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0.6</w:t>
            </w:r>
          </w:p>
        </w:tc>
      </w:tr>
      <w:tr w:rsidR="00000000">
        <w:trPr>
          <w:divId w:val="419064540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fluid LDH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2/3 the upper limit of normal serum LDH</w:t>
            </w:r>
          </w:p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60 U/L</w:t>
            </w:r>
          </w:p>
        </w:tc>
      </w:tr>
    </w:tbl>
    <w:p w:rsidR="00915978" w:rsidRDefault="00915978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符合其中一個條件即為滲出液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(Exudate)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915978" w:rsidRDefault="00915978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LDH</w:t>
      </w:r>
      <w:r>
        <w:rPr>
          <w:rFonts w:ascii="微軟正黑體" w:eastAsia="微軟正黑體" w:hAnsi="微軟正黑體" w:cs="Calibri" w:hint="eastAsia"/>
          <w:sz w:val="22"/>
          <w:szCs w:val="22"/>
        </w:rPr>
        <w:t>正常值：</w:t>
      </w:r>
      <w:r>
        <w:rPr>
          <w:rFonts w:ascii="微軟正黑體" w:eastAsia="微軟正黑體" w:hAnsi="微軟正黑體" w:cs="Calibri" w:hint="eastAsia"/>
          <w:sz w:val="22"/>
          <w:szCs w:val="22"/>
        </w:rPr>
        <w:t>45-90 U/L</w:t>
      </w:r>
    </w:p>
    <w:p w:rsidR="00915978" w:rsidRDefault="00915978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Light's criteria</w:t>
      </w:r>
      <w:r>
        <w:rPr>
          <w:rFonts w:ascii="微軟正黑體" w:eastAsia="微軟正黑體" w:hAnsi="微軟正黑體" w:cs="Calibri" w:hint="eastAsia"/>
          <w:sz w:val="22"/>
          <w:szCs w:val="22"/>
        </w:rPr>
        <w:t>大概有</w:t>
      </w:r>
      <w:r>
        <w:rPr>
          <w:rFonts w:ascii="微軟正黑體" w:eastAsia="微軟正黑體" w:hAnsi="微軟正黑體" w:cs="Calibri" w:hint="eastAsia"/>
          <w:sz w:val="22"/>
          <w:szCs w:val="22"/>
        </w:rPr>
        <w:t>25%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sz w:val="22"/>
          <w:szCs w:val="22"/>
        </w:rPr>
        <w:t>Transudate</w:t>
      </w:r>
      <w:r>
        <w:rPr>
          <w:rFonts w:ascii="微軟正黑體" w:eastAsia="微軟正黑體" w:hAnsi="微軟正黑體" w:cs="Calibri" w:hint="eastAsia"/>
          <w:sz w:val="22"/>
          <w:szCs w:val="22"/>
        </w:rPr>
        <w:t>會被誤診為</w:t>
      </w:r>
      <w:r>
        <w:rPr>
          <w:rFonts w:ascii="微軟正黑體" w:eastAsia="微軟正黑體" w:hAnsi="微軟正黑體" w:cs="Calibri" w:hint="eastAsia"/>
          <w:sz w:val="22"/>
          <w:szCs w:val="22"/>
        </w:rPr>
        <w:t>Exudate</w:t>
      </w:r>
      <w:r>
        <w:rPr>
          <w:rFonts w:ascii="微軟正黑體" w:eastAsia="微軟正黑體" w:hAnsi="微軟正黑體" w:cs="Calibri" w:hint="eastAsia"/>
          <w:sz w:val="22"/>
          <w:szCs w:val="22"/>
        </w:rPr>
        <w:t>，若臨床高度懷疑是</w:t>
      </w:r>
      <w:r>
        <w:rPr>
          <w:rFonts w:ascii="微軟正黑體" w:eastAsia="微軟正黑體" w:hAnsi="微軟正黑體" w:cs="Calibri" w:hint="eastAsia"/>
          <w:sz w:val="22"/>
          <w:szCs w:val="22"/>
        </w:rPr>
        <w:t>Transudate</w:t>
      </w:r>
      <w:r>
        <w:rPr>
          <w:rFonts w:ascii="微軟正黑體" w:eastAsia="微軟正黑體" w:hAnsi="微軟正黑體" w:cs="Calibri" w:hint="eastAsia"/>
          <w:sz w:val="22"/>
          <w:szCs w:val="22"/>
        </w:rPr>
        <w:t>時可以使用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Serum-effusion albumin gradient &gt; 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1.2 </w:t>
      </w:r>
      <w:r>
        <w:rPr>
          <w:rFonts w:ascii="微軟正黑體" w:eastAsia="微軟正黑體" w:hAnsi="微軟正黑體" w:cs="Calibri" w:hint="eastAsia"/>
          <w:sz w:val="22"/>
          <w:szCs w:val="22"/>
        </w:rPr>
        <w:t>或是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serum-effusion TP gradient &gt; 3.1 </w:t>
      </w:r>
      <w:r>
        <w:rPr>
          <w:rFonts w:ascii="微軟正黑體" w:eastAsia="微軟正黑體" w:hAnsi="微軟正黑體" w:cs="Calibri" w:hint="eastAsia"/>
          <w:sz w:val="22"/>
          <w:szCs w:val="22"/>
        </w:rPr>
        <w:t>來區分出</w:t>
      </w:r>
      <w:r>
        <w:rPr>
          <w:rFonts w:ascii="微軟正黑體" w:eastAsia="微軟正黑體" w:hAnsi="微軟正黑體" w:cs="Calibri" w:hint="eastAsia"/>
          <w:sz w:val="22"/>
          <w:szCs w:val="22"/>
        </w:rPr>
        <w:t>Transudate</w:t>
      </w:r>
    </w:p>
    <w:p w:rsidR="00915978" w:rsidRDefault="00915978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Exudate</w:t>
      </w:r>
      <w:r>
        <w:rPr>
          <w:rFonts w:ascii="微軟正黑體" w:eastAsia="微軟正黑體" w:hAnsi="微軟正黑體" w:cs="Calibri" w:hint="eastAsia"/>
          <w:sz w:val="28"/>
          <w:szCs w:val="28"/>
        </w:rPr>
        <w:t>的鑑別診斷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60"/>
        <w:gridCol w:w="5006"/>
      </w:tblGrid>
      <w:tr w:rsidR="00000000">
        <w:trPr>
          <w:divId w:val="1991051711"/>
        </w:trPr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5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Abnormal Findings</w:t>
            </w:r>
          </w:p>
        </w:tc>
      </w:tr>
      <w:tr w:rsidR="00000000">
        <w:trPr>
          <w:divId w:val="199105171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Tuberculosis (TB)</w:t>
            </w:r>
          </w:p>
        </w:tc>
        <w:tc>
          <w:tcPr>
            <w:tcW w:w="5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lymphocytic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</w:p>
          <w:p w:rsidR="00915978" w:rsidRDefault="00915978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Adenosine deaminase</w:t>
            </w:r>
          </w:p>
          <w:p w:rsidR="00915978" w:rsidRDefault="00915978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AFB stain (+) (10%) / TB culture (+) (20%)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皆不常見</w:t>
            </w:r>
          </w:p>
        </w:tc>
      </w:tr>
      <w:tr w:rsidR="00000000">
        <w:trPr>
          <w:divId w:val="199105171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(lymphocytic)</w:t>
            </w:r>
          </w:p>
          <w:p w:rsidR="00915978" w:rsidRDefault="00915978">
            <w:pPr>
              <w:numPr>
                <w:ilvl w:val="1"/>
                <w:numId w:val="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Fluid cytology (+)</w:t>
            </w:r>
          </w:p>
          <w:p w:rsidR="00915978" w:rsidRDefault="00915978">
            <w:pPr>
              <w:numPr>
                <w:ilvl w:val="1"/>
                <w:numId w:val="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常見：肺癌、乳癌、淋巴癌</w:t>
            </w:r>
          </w:p>
        </w:tc>
      </w:tr>
      <w:tr w:rsidR="00000000">
        <w:trPr>
          <w:divId w:val="199105171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Pulmonary Embolism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(neutrophilic)</w:t>
            </w:r>
          </w:p>
          <w:p w:rsidR="00915978" w:rsidRDefault="00915978">
            <w:pPr>
              <w:numPr>
                <w:ilvl w:val="1"/>
                <w:numId w:val="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RBC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可能出現</w:t>
            </w:r>
          </w:p>
        </w:tc>
      </w:tr>
      <w:tr w:rsidR="00000000">
        <w:trPr>
          <w:divId w:val="199105171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Pancreatitis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10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(neutrophilic)</w:t>
            </w:r>
          </w:p>
          <w:p w:rsidR="00915978" w:rsidRDefault="00915978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Amylase (pancreatic isoform)</w:t>
            </w:r>
          </w:p>
        </w:tc>
      </w:tr>
      <w:tr w:rsidR="00000000">
        <w:trPr>
          <w:divId w:val="1991051711"/>
        </w:trPr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Esophageal Rupture</w:t>
            </w:r>
          </w:p>
        </w:tc>
        <w:tc>
          <w:tcPr>
            <w:tcW w:w="5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1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(neutrophilic)</w:t>
            </w:r>
          </w:p>
          <w:p w:rsidR="00915978" w:rsidRDefault="00915978">
            <w:pPr>
              <w:numPr>
                <w:ilvl w:val="1"/>
                <w:numId w:val="1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Amylase (salivary isoform)</w:t>
            </w:r>
          </w:p>
        </w:tc>
      </w:tr>
      <w:tr w:rsidR="00000000">
        <w:trPr>
          <w:divId w:val="1991051711"/>
        </w:trPr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Infection (Bacterial)</w:t>
            </w:r>
          </w:p>
        </w:tc>
        <w:tc>
          <w:tcPr>
            <w:tcW w:w="5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12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(usually neutrophilic)</w:t>
            </w:r>
          </w:p>
          <w:p w:rsidR="00915978" w:rsidRDefault="00915978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Gram stain and culture (+)</w:t>
            </w:r>
          </w:p>
          <w:p w:rsidR="00915978" w:rsidRDefault="00915978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Empyema: very high LDH</w:t>
            </w:r>
          </w:p>
        </w:tc>
      </w:tr>
      <w:tr w:rsidR="00000000">
        <w:trPr>
          <w:divId w:val="199105171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Drug-related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1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Eosinophilic pleural fluid</w:t>
            </w:r>
          </w:p>
        </w:tc>
      </w:tr>
      <w:tr w:rsidR="00000000">
        <w:trPr>
          <w:divId w:val="199105171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Chylothorax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14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肋膜液呈乳狀</w:t>
            </w:r>
          </w:p>
          <w:p w:rsidR="00915978" w:rsidRDefault="00915978">
            <w:pPr>
              <w:numPr>
                <w:ilvl w:val="1"/>
                <w:numId w:val="1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 &gt;110 mg/dL</w:t>
            </w:r>
          </w:p>
        </w:tc>
      </w:tr>
      <w:tr w:rsidR="00000000">
        <w:trPr>
          <w:divId w:val="1991051711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Hemothorax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numPr>
                <w:ilvl w:val="1"/>
                <w:numId w:val="15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(Sanguineous)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積液</w:t>
            </w:r>
          </w:p>
          <w:p w:rsidR="00915978" w:rsidRDefault="00915978">
            <w:pPr>
              <w:numPr>
                <w:ilvl w:val="1"/>
                <w:numId w:val="1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Pleural fluid hematocrit &gt;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50% of peripheral blood</w:t>
            </w:r>
          </w:p>
        </w:tc>
      </w:tr>
    </w:tbl>
    <w:p w:rsidR="00915978" w:rsidRDefault="00915978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15978" w:rsidRDefault="00915978">
      <w:pPr>
        <w:numPr>
          <w:ilvl w:val="0"/>
          <w:numId w:val="1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</w:p>
    <w:p w:rsidR="00915978" w:rsidRDefault="00915978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Transudate</w:t>
      </w:r>
    </w:p>
    <w:p w:rsidR="00915978" w:rsidRDefault="00915978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Underlying disease</w:t>
      </w:r>
    </w:p>
    <w:p w:rsidR="00915978" w:rsidRDefault="00915978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針對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、腎衰竭、肝衰竭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的患者可以考慮使用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利尿劑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915978" w:rsidRDefault="00915978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若引起喘</w:t>
      </w:r>
      <w:r>
        <w:rPr>
          <w:rFonts w:ascii="微軟正黑體" w:eastAsia="微軟正黑體" w:hAnsi="微軟正黑體" w:cs="Calibri" w:hint="eastAsia"/>
          <w:sz w:val="22"/>
          <w:szCs w:val="22"/>
        </w:rPr>
        <w:t>(dyspnea)</w:t>
      </w:r>
      <w:r>
        <w:rPr>
          <w:rFonts w:ascii="微軟正黑體" w:eastAsia="微軟正黑體" w:hAnsi="微軟正黑體" w:cs="Calibri" w:hint="eastAsia"/>
          <w:sz w:val="22"/>
          <w:szCs w:val="22"/>
        </w:rPr>
        <w:t>或是急性呼吸衰竭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respiratory failure)</w:t>
      </w:r>
      <w:r>
        <w:rPr>
          <w:rFonts w:ascii="微軟正黑體" w:eastAsia="微軟正黑體" w:hAnsi="微軟正黑體" w:cs="Calibri" w:hint="eastAsia"/>
          <w:sz w:val="22"/>
          <w:szCs w:val="22"/>
        </w:rPr>
        <w:t>則考慮引流</w:t>
      </w:r>
      <w:r>
        <w:rPr>
          <w:rFonts w:ascii="微軟正黑體" w:eastAsia="微軟正黑體" w:hAnsi="微軟正黑體" w:cs="Calibri" w:hint="eastAsia"/>
          <w:sz w:val="22"/>
          <w:szCs w:val="22"/>
        </w:rPr>
        <w:t>(drainage)</w:t>
      </w:r>
    </w:p>
    <w:p w:rsidR="00915978" w:rsidRDefault="00915978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Exudate</w:t>
      </w:r>
    </w:p>
    <w:p w:rsidR="00915978" w:rsidRDefault="00915978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要進一步</w:t>
      </w:r>
      <w:r>
        <w:rPr>
          <w:rFonts w:ascii="微軟正黑體" w:eastAsia="微軟正黑體" w:hAnsi="微軟正黑體" w:cs="Calibri" w:hint="eastAsia"/>
          <w:sz w:val="22"/>
          <w:szCs w:val="22"/>
        </w:rPr>
        <w:t>survey</w:t>
      </w:r>
      <w:r>
        <w:rPr>
          <w:rFonts w:ascii="微軟正黑體" w:eastAsia="微軟正黑體" w:hAnsi="微軟正黑體" w:cs="Calibri" w:hint="eastAsia"/>
          <w:sz w:val="22"/>
          <w:szCs w:val="22"/>
        </w:rPr>
        <w:t>原因</w:t>
      </w:r>
    </w:p>
    <w:p w:rsidR="00915978" w:rsidRDefault="00915978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進行引流，對於反覆發作的癌因性積水，可以考慮放置留置性肋膜導管</w:t>
      </w:r>
      <w:r>
        <w:rPr>
          <w:rFonts w:ascii="微軟正黑體" w:eastAsia="微軟正黑體" w:hAnsi="微軟正黑體" w:cs="Calibri" w:hint="eastAsia"/>
          <w:sz w:val="22"/>
          <w:szCs w:val="22"/>
        </w:rPr>
        <w:t>(indwelling pleural catheter)</w:t>
      </w:r>
    </w:p>
    <w:p w:rsidR="00915978" w:rsidRDefault="00915978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</w:t>
      </w:r>
    </w:p>
    <w:p w:rsidR="00915978" w:rsidRDefault="00915978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肺炎伴生肋膜積液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(Parapneumonic effusion)</w:t>
      </w:r>
      <w:r>
        <w:rPr>
          <w:rFonts w:ascii="微軟正黑體" w:eastAsia="微軟正黑體" w:hAnsi="微軟正黑體" w:cs="Calibri" w:hint="eastAsia"/>
          <w:sz w:val="28"/>
          <w:szCs w:val="28"/>
        </w:rPr>
        <w:t>和膿胸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(Empyema)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5"/>
        <w:gridCol w:w="2070"/>
        <w:gridCol w:w="2280"/>
        <w:gridCol w:w="1791"/>
      </w:tblGrid>
      <w:tr w:rsidR="00000000">
        <w:trPr>
          <w:divId w:val="134146938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Uncomplicated parapneumonic effusion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Complicated parapneumonic effusion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膿胸（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Empyema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34146938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肺炎使體液移動到肋膜腔，產生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無菌性的積液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細菌侵犯肋膜腔產生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有菌的積液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，但不是膿狀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細菌定植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(Colonization)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於胸膜腔</w:t>
            </w:r>
          </w:p>
        </w:tc>
      </w:tr>
      <w:tr w:rsidR="00000000">
        <w:trPr>
          <w:divId w:val="134146938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外觀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清澈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清澈或混濁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化膿（膿狀）</w:t>
            </w:r>
          </w:p>
        </w:tc>
      </w:tr>
      <w:tr w:rsidR="00000000">
        <w:trPr>
          <w:divId w:val="1341469389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肋膜積液分析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 &gt; 7.2</w:t>
            </w:r>
          </w:p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</w:t>
            </w:r>
            <w:r>
              <w:rPr>
                <w:rFonts w:ascii="Calibri" w:hAnsi="Calibri" w:cs="Calibri"/>
                <w:sz w:val="22"/>
                <w:szCs w:val="22"/>
              </w:rPr>
              <w:t>：正常或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LDH ratio &gt; 0.6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 &lt; 7.2</w:t>
            </w:r>
          </w:p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LDH ratio &gt; 0.6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 &lt; 7.2</w:t>
            </w:r>
          </w:p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  <w:p w:rsidR="00915978" w:rsidRDefault="00915978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LDH ratio &gt; 0.6</w:t>
            </w:r>
          </w:p>
        </w:tc>
      </w:tr>
      <w:tr w:rsidR="00000000">
        <w:trPr>
          <w:divId w:val="1341469389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革蘭氏染色與培養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陰性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可能為陽性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</w:t>
            </w:r>
          </w:p>
        </w:tc>
      </w:tr>
      <w:tr w:rsidR="00000000">
        <w:trPr>
          <w:divId w:val="1341469389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早期引流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15978" w:rsidRDefault="0091597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胸管引流</w:t>
            </w:r>
          </w:p>
        </w:tc>
      </w:tr>
    </w:tbl>
    <w:p w:rsidR="00915978" w:rsidRDefault="00915978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915978" w:rsidRDefault="00915978">
      <w:pPr>
        <w:numPr>
          <w:ilvl w:val="0"/>
          <w:numId w:val="17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反覆發作的肋膜積液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(Recurrent effusion)</w:t>
      </w:r>
    </w:p>
    <w:p w:rsidR="00915978" w:rsidRDefault="00915978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進行肋膜沾黏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(pleurodesis)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，用化學藥物引起肋膜腔發炎反應後，產生組織間的沾黏，以避免積液再度形成。</w:t>
      </w:r>
    </w:p>
    <w:p w:rsidR="00915978" w:rsidRDefault="00915978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參考資料</w:t>
      </w:r>
    </w:p>
    <w:p w:rsidR="00915978" w:rsidRDefault="00915978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Light, R. W. (2022). Disorders of the pleura. In J. F. Brunton, D. L. Longo, S. L. Hauser, J. Loscalzo, &amp; J. Jameson (Eds.),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Harrison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’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 xml:space="preserve">s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principles of internal medicine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(21st ed., pp. 2197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2200). McGraw-Hill Education.</w:t>
      </w:r>
    </w:p>
    <w:p w:rsidR="00915978" w:rsidRDefault="00915978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Le, T., &amp; Bhushan, V. (2018).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First Aid for the USMLE Step 2 CK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(10th ed., pp. 497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498). McGraw Hill / Medical.</w:t>
      </w:r>
    </w:p>
    <w:p w:rsidR="00915978" w:rsidRDefault="00915978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Ancha, S., Auberle, C., Cash, D., Harsh, M., Hickman, J., &amp; Kounga, C. (Eds.). (2022).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The Washington Manual of Medical Therapeutics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(37th ed., pp. 364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372). Wolters Kluwer.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5978" w:rsidRDefault="00915978" w:rsidP="00915978">
      <w:r>
        <w:separator/>
      </w:r>
    </w:p>
  </w:endnote>
  <w:endnote w:type="continuationSeparator" w:id="0">
    <w:p w:rsidR="00915978" w:rsidRDefault="00915978" w:rsidP="0091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5978" w:rsidRDefault="00915978" w:rsidP="00915978">
      <w:r>
        <w:separator/>
      </w:r>
    </w:p>
  </w:footnote>
  <w:footnote w:type="continuationSeparator" w:id="0">
    <w:p w:rsidR="00915978" w:rsidRDefault="00915978" w:rsidP="00915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810E8"/>
    <w:multiLevelType w:val="multilevel"/>
    <w:tmpl w:val="69E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23448"/>
    <w:multiLevelType w:val="multilevel"/>
    <w:tmpl w:val="E1A4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F5316"/>
    <w:multiLevelType w:val="multilevel"/>
    <w:tmpl w:val="5656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2684C"/>
    <w:multiLevelType w:val="multilevel"/>
    <w:tmpl w:val="E916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A3992"/>
    <w:multiLevelType w:val="multilevel"/>
    <w:tmpl w:val="BCE2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D1369"/>
    <w:multiLevelType w:val="multilevel"/>
    <w:tmpl w:val="8D4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30353A"/>
    <w:multiLevelType w:val="multilevel"/>
    <w:tmpl w:val="74A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D2A9B"/>
    <w:multiLevelType w:val="multilevel"/>
    <w:tmpl w:val="8D9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258A1"/>
    <w:multiLevelType w:val="multilevel"/>
    <w:tmpl w:val="C0F0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36EDA"/>
    <w:multiLevelType w:val="multilevel"/>
    <w:tmpl w:val="E3F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C3633"/>
    <w:multiLevelType w:val="multilevel"/>
    <w:tmpl w:val="0FCC76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C0C7CE6"/>
    <w:multiLevelType w:val="multilevel"/>
    <w:tmpl w:val="B93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3394E"/>
    <w:multiLevelType w:val="multilevel"/>
    <w:tmpl w:val="57FC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292F85"/>
    <w:multiLevelType w:val="multilevel"/>
    <w:tmpl w:val="8FBC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C72A67"/>
    <w:multiLevelType w:val="multilevel"/>
    <w:tmpl w:val="DA58E3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E5F7DC6"/>
    <w:multiLevelType w:val="multilevel"/>
    <w:tmpl w:val="E40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FB5343"/>
    <w:multiLevelType w:val="multilevel"/>
    <w:tmpl w:val="026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A26ED"/>
    <w:multiLevelType w:val="multilevel"/>
    <w:tmpl w:val="224C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39794">
    <w:abstractNumId w:val="15"/>
  </w:num>
  <w:num w:numId="2" w16cid:durableId="601454881">
    <w:abstractNumId w:val="2"/>
  </w:num>
  <w:num w:numId="3" w16cid:durableId="1378355827">
    <w:abstractNumId w:val="9"/>
  </w:num>
  <w:num w:numId="4" w16cid:durableId="1452438728">
    <w:abstractNumId w:val="17"/>
  </w:num>
  <w:num w:numId="5" w16cid:durableId="167644094">
    <w:abstractNumId w:val="5"/>
  </w:num>
  <w:num w:numId="6" w16cid:durableId="735009708">
    <w:abstractNumId w:val="10"/>
  </w:num>
  <w:num w:numId="7" w16cid:durableId="1239171944">
    <w:abstractNumId w:val="1"/>
  </w:num>
  <w:num w:numId="8" w16cid:durableId="761419589">
    <w:abstractNumId w:val="4"/>
  </w:num>
  <w:num w:numId="9" w16cid:durableId="1841769410">
    <w:abstractNumId w:val="6"/>
  </w:num>
  <w:num w:numId="10" w16cid:durableId="106658021">
    <w:abstractNumId w:val="11"/>
  </w:num>
  <w:num w:numId="11" w16cid:durableId="1450588888">
    <w:abstractNumId w:val="8"/>
  </w:num>
  <w:num w:numId="12" w16cid:durableId="1723865359">
    <w:abstractNumId w:val="3"/>
  </w:num>
  <w:num w:numId="13" w16cid:durableId="196939911">
    <w:abstractNumId w:val="16"/>
  </w:num>
  <w:num w:numId="14" w16cid:durableId="1640263503">
    <w:abstractNumId w:val="7"/>
  </w:num>
  <w:num w:numId="15" w16cid:durableId="2030717340">
    <w:abstractNumId w:val="0"/>
  </w:num>
  <w:num w:numId="16" w16cid:durableId="1318459635">
    <w:abstractNumId w:val="12"/>
  </w:num>
  <w:num w:numId="17" w16cid:durableId="1152672670">
    <w:abstractNumId w:val="14"/>
  </w:num>
  <w:num w:numId="18" w16cid:durableId="5892413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78"/>
    <w:rsid w:val="00915978"/>
    <w:rsid w:val="00FD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B2025E-3349-42E6-9D12-A663EF33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15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597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15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597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6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