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7359" w:rsidRDefault="00E3735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阻塞性肺疾病</w:t>
      </w:r>
    </w:p>
    <w:p w:rsidR="00E37359" w:rsidRDefault="00E3735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April 24, 2025</w:t>
      </w:r>
    </w:p>
    <w:p w:rsidR="00E37359" w:rsidRDefault="00E3735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12:18 AM</w:t>
      </w:r>
    </w:p>
    <w:p w:rsidR="00E37359" w:rsidRDefault="00E3735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37359" w:rsidRDefault="00E3735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37359" w:rsidRDefault="00E3735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37359" w:rsidRDefault="00E3735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37359" w:rsidRDefault="00E3735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37359" w:rsidRDefault="00E3735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37359" w:rsidRDefault="00E3735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37359" w:rsidRDefault="00E3735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基本概念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8"/>
        <w:gridCol w:w="5485"/>
      </w:tblGrid>
      <w:tr w:rsidR="00000000">
        <w:trPr>
          <w:divId w:val="93015752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</w:tr>
      <w:tr w:rsidR="00000000">
        <w:trPr>
          <w:divId w:val="93015752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Obstructive</w:t>
            </w:r>
          </w:p>
        </w:tc>
        <w:tc>
          <w:tcPr>
            <w:tcW w:w="5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空氣「吐不出去」：氣道阻塞使得呼氣變慢、氣體滯留</w:t>
            </w:r>
          </w:p>
        </w:tc>
      </w:tr>
      <w:tr w:rsidR="00000000">
        <w:trPr>
          <w:divId w:val="93015752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Restrictive</w:t>
            </w:r>
          </w:p>
        </w:tc>
        <w:tc>
          <w:tcPr>
            <w:tcW w:w="5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空氣「進不來」：肺部無法完全擴張，總容量下降</w:t>
            </w:r>
          </w:p>
        </w:tc>
      </w:tr>
    </w:tbl>
    <w:p w:rsidR="00E37359" w:rsidRDefault="00E37359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37359" w:rsidRDefault="00E37359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肺功能指標比較（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PFT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0"/>
        <w:gridCol w:w="2503"/>
        <w:gridCol w:w="2058"/>
      </w:tblGrid>
      <w:tr w:rsidR="00000000">
        <w:trPr>
          <w:divId w:val="165020227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指標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Obstructive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Restrictive</w:t>
            </w:r>
          </w:p>
        </w:tc>
      </w:tr>
      <w:tr w:rsidR="00000000">
        <w:trPr>
          <w:divId w:val="165020227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FEV1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↓↓↓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</w:tr>
      <w:tr w:rsidR="00000000">
        <w:trPr>
          <w:divId w:val="165020227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FVC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↓ /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↓↓↓</w:t>
            </w:r>
          </w:p>
        </w:tc>
      </w:tr>
      <w:tr w:rsidR="00000000">
        <w:trPr>
          <w:divId w:val="165020227"/>
        </w:trPr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FEV1/FVC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↓ &lt; 70%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（關鍵）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↑ &gt; 80%</w:t>
            </w:r>
          </w:p>
        </w:tc>
      </w:tr>
      <w:tr w:rsidR="00000000">
        <w:trPr>
          <w:divId w:val="165020227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TLC</w:t>
            </w:r>
          </w:p>
        </w:tc>
        <w:tc>
          <w:tcPr>
            <w:tcW w:w="2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（氣體滯留）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↓↓</w:t>
            </w:r>
          </w:p>
        </w:tc>
      </w:tr>
      <w:tr w:rsidR="00000000">
        <w:trPr>
          <w:divId w:val="165020227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RV / FRC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↑↑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air trapping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</w:tr>
      <w:tr w:rsidR="00000000">
        <w:trPr>
          <w:divId w:val="165020227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DLCO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ILD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明顯下降）</w:t>
            </w:r>
          </w:p>
        </w:tc>
      </w:tr>
    </w:tbl>
    <w:p w:rsidR="00E37359" w:rsidRDefault="00E37359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37359" w:rsidRDefault="00E3735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代表性疾病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9"/>
        <w:gridCol w:w="3324"/>
        <w:gridCol w:w="2483"/>
      </w:tblGrid>
      <w:tr w:rsidR="00000000">
        <w:trPr>
          <w:divId w:val="805271211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常見疾病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</w:tr>
      <w:tr w:rsidR="00000000">
        <w:trPr>
          <w:divId w:val="805271211"/>
        </w:trPr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Obstructive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Asthma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chronic bronchitis + emphysema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Bronchiectasis</w:t>
            </w:r>
          </w:p>
        </w:tc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可逆性（</w:t>
            </w:r>
            <w:r>
              <w:rPr>
                <w:rFonts w:ascii="Calibri" w:hAnsi="Calibri" w:cs="Calibri"/>
                <w:sz w:val="22"/>
                <w:szCs w:val="22"/>
              </w:rPr>
              <w:t>Asthma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）、氣體滯留（</w:t>
            </w:r>
            <w:r>
              <w:rPr>
                <w:rFonts w:ascii="Calibri" w:hAnsi="Calibri" w:cs="Calibri"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05271211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Restrictive</w:t>
            </w:r>
          </w:p>
        </w:tc>
        <w:tc>
          <w:tcPr>
            <w:tcW w:w="4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ILD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IPF, NSIP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）、胸壁疾病、神經肌肉病變（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彈性下降、肺順應性低</w:t>
            </w:r>
          </w:p>
        </w:tc>
      </w:tr>
    </w:tbl>
    <w:p w:rsidR="00E37359" w:rsidRDefault="00E37359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37359" w:rsidRDefault="00E37359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擴散能力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DLCO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判讀重點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56"/>
        <w:gridCol w:w="1101"/>
        <w:gridCol w:w="3329"/>
      </w:tblGrid>
      <w:tr w:rsidR="00000000">
        <w:trPr>
          <w:divId w:val="2066562692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狀況</w:t>
            </w:r>
          </w:p>
        </w:tc>
        <w:tc>
          <w:tcPr>
            <w:tcW w:w="1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DLCO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變化</w:t>
            </w:r>
          </w:p>
        </w:tc>
        <w:tc>
          <w:tcPr>
            <w:tcW w:w="3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</w:tr>
      <w:tr w:rsidR="00000000">
        <w:trPr>
          <w:divId w:val="2066562692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ILD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、肺纖維化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擴散距離變長、毛細血管破壞</w:t>
            </w:r>
          </w:p>
        </w:tc>
      </w:tr>
      <w:tr w:rsidR="00000000">
        <w:trPr>
          <w:divId w:val="2066562692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肺泡壁破壞、表面積減少</w:t>
            </w:r>
          </w:p>
        </w:tc>
      </w:tr>
      <w:tr w:rsidR="00000000">
        <w:trPr>
          <w:divId w:val="2066562692"/>
        </w:trPr>
        <w:tc>
          <w:tcPr>
            <w:tcW w:w="3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Pulmonary embolism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、肺高壓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血流灌流異常</w:t>
            </w:r>
          </w:p>
        </w:tc>
      </w:tr>
      <w:tr w:rsidR="00000000">
        <w:trPr>
          <w:divId w:val="2066562692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Anemia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</w:tc>
        <w:tc>
          <w:tcPr>
            <w:tcW w:w="3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攜氧載體（</w:t>
            </w:r>
            <w:r>
              <w:rPr>
                <w:rFonts w:ascii="Calibri" w:hAnsi="Calibri" w:cs="Calibri"/>
                <w:sz w:val="22"/>
                <w:szCs w:val="22"/>
              </w:rPr>
              <w:t>Hb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）少，需校正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DLCO</w:t>
            </w:r>
          </w:p>
        </w:tc>
      </w:tr>
      <w:tr w:rsidR="00000000">
        <w:trPr>
          <w:divId w:val="2066562692"/>
        </w:trPr>
        <w:tc>
          <w:tcPr>
            <w:tcW w:w="3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Asthma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</w:t>
            </w:r>
            <w:r>
              <w:rPr>
                <w:rFonts w:ascii="Calibri" w:hAnsi="Calibri" w:cs="Calibri"/>
                <w:sz w:val="22"/>
                <w:szCs w:val="22"/>
              </w:rPr>
              <w:t>↑</w:t>
            </w:r>
          </w:p>
        </w:tc>
        <w:tc>
          <w:tcPr>
            <w:tcW w:w="4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肺泡保留，灌流正常甚至增加（急性期）</w:t>
            </w:r>
          </w:p>
        </w:tc>
      </w:tr>
    </w:tbl>
    <w:p w:rsidR="00E37359" w:rsidRDefault="00E37359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37359" w:rsidRDefault="00E37359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病因分類提示（特別適用於限制型）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9"/>
        <w:gridCol w:w="4758"/>
      </w:tblGrid>
      <w:tr w:rsidR="00000000">
        <w:trPr>
          <w:divId w:val="1214124525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原因示意</w:t>
            </w:r>
          </w:p>
        </w:tc>
      </w:tr>
      <w:tr w:rsidR="00000000">
        <w:trPr>
          <w:divId w:val="1214124525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肺實質病變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（最典型）、</w:t>
            </w:r>
            <w:r>
              <w:rPr>
                <w:rFonts w:ascii="Calibri" w:hAnsi="Calibri" w:cs="Calibri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、藥物、放射線</w:t>
            </w:r>
          </w:p>
        </w:tc>
      </w:tr>
      <w:tr w:rsidR="00000000">
        <w:trPr>
          <w:divId w:val="1214124525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胸壁異常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肋骨骨折、胸廓發育異常</w:t>
            </w:r>
          </w:p>
        </w:tc>
      </w:tr>
      <w:tr w:rsidR="00000000">
        <w:trPr>
          <w:divId w:val="1214124525"/>
        </w:trPr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神經肌肉疾病</w:t>
            </w:r>
          </w:p>
        </w:tc>
        <w:tc>
          <w:tcPr>
            <w:tcW w:w="4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Myasthenia gravis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sz w:val="22"/>
                <w:szCs w:val="22"/>
              </w:rPr>
              <w:t>Guillain-Barré syndrome</w:t>
            </w:r>
          </w:p>
        </w:tc>
      </w:tr>
      <w:tr w:rsidR="00000000">
        <w:trPr>
          <w:divId w:val="1214124525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腹部壓迫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7359" w:rsidRDefault="00E3735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肥胖、腹水、妊娠晚期</w:t>
            </w:r>
          </w:p>
        </w:tc>
      </w:tr>
    </w:tbl>
    <w:p w:rsidR="00E37359" w:rsidRDefault="00E37359">
      <w:pPr>
        <w:divId w:val="1214124525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7359" w:rsidRDefault="00E37359" w:rsidP="00E37359">
      <w:r>
        <w:separator/>
      </w:r>
    </w:p>
  </w:endnote>
  <w:endnote w:type="continuationSeparator" w:id="0">
    <w:p w:rsidR="00E37359" w:rsidRDefault="00E37359" w:rsidP="00E3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7359" w:rsidRDefault="00E37359" w:rsidP="00E37359">
      <w:r>
        <w:separator/>
      </w:r>
    </w:p>
  </w:footnote>
  <w:footnote w:type="continuationSeparator" w:id="0">
    <w:p w:rsidR="00E37359" w:rsidRDefault="00E37359" w:rsidP="00E37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42F2E"/>
    <w:multiLevelType w:val="multilevel"/>
    <w:tmpl w:val="EB20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66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59"/>
    <w:rsid w:val="00127AC6"/>
    <w:rsid w:val="00E3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09223F2-61E0-433E-B866-226532EE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373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735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373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735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