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4716" w:rsidRDefault="00644716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Respiratory failure</w:t>
      </w:r>
    </w:p>
    <w:p w:rsidR="00644716" w:rsidRDefault="0064471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644716" w:rsidRDefault="0064471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12:07 AM</w:t>
      </w:r>
    </w:p>
    <w:p w:rsidR="00644716" w:rsidRDefault="00644716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44716" w:rsidRDefault="0064471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44716" w:rsidRDefault="0064471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44716" w:rsidRDefault="0064471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44716" w:rsidRDefault="0064471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44716" w:rsidRDefault="0064471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44716" w:rsidRDefault="00644716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44716" w:rsidRDefault="0064471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44716" w:rsidRDefault="00644716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44716" w:rsidRDefault="00644716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分類與機轉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78"/>
        <w:gridCol w:w="1705"/>
        <w:gridCol w:w="2313"/>
        <w:gridCol w:w="1024"/>
        <w:gridCol w:w="2271"/>
      </w:tblGrid>
      <w:tr w:rsidR="00000000">
        <w:trPr>
          <w:divId w:val="396326460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名稱</w:t>
            </w:r>
          </w:p>
        </w:tc>
        <w:tc>
          <w:tcPr>
            <w:tcW w:w="22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定義與機轉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常見病因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診斷與特徵</w:t>
            </w:r>
          </w:p>
        </w:tc>
      </w:tr>
      <w:tr w:rsidR="00000000">
        <w:trPr>
          <w:divId w:val="396326460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Acute Hypoxemic Respiratory Failure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氧合失敗，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60 mmHg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，伴正常或低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</w:p>
          <w:p w:rsidR="00644716" w:rsidRDefault="00644716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機轉：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肺泡充液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Intrapulmonary shunt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主要因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V/Q mismatch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shunting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、擴散障礙等造成氧合不足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、肺炎、肺水腫、出血、吸入傷害、胰臟炎、溺水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numPr>
                <w:ilvl w:val="2"/>
                <w:numId w:val="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胸部影像：雙側浸潤</w:t>
            </w:r>
          </w:p>
          <w:p w:rsidR="00644716" w:rsidRDefault="00644716">
            <w:pPr>
              <w:numPr>
                <w:ilvl w:val="2"/>
                <w:numId w:val="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P/F ratio &lt; 300</w:t>
            </w:r>
          </w:p>
        </w:tc>
      </w:tr>
      <w:tr w:rsidR="00000000">
        <w:trPr>
          <w:divId w:val="396326460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II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Hypercapnic (Ventilatory) Failure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換氣失敗，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 45 mmHg</w:t>
            </w:r>
          </w:p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機轉：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肺泡低換氣（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Hypoventilation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中樞抑制（藥物中毒）、神經肌肉疾病（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GBS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COPD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lastRenderedPageBreak/>
              <w:t>急性惡化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numPr>
                <w:ilvl w:val="2"/>
                <w:numId w:val="3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ABG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pH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  <w:p w:rsidR="00644716" w:rsidRDefault="00644716">
            <w:pPr>
              <w:numPr>
                <w:ilvl w:val="2"/>
                <w:numId w:val="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常伴呼吸肌疲乏</w:t>
            </w:r>
          </w:p>
        </w:tc>
      </w:tr>
      <w:tr w:rsidR="00000000">
        <w:trPr>
          <w:divId w:val="396326460"/>
        </w:trPr>
        <w:tc>
          <w:tcPr>
            <w:tcW w:w="11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III</w:t>
            </w:r>
          </w:p>
        </w:tc>
        <w:tc>
          <w:tcPr>
            <w:tcW w:w="1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Perioperative Failure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Atelectasis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術後肺塌陷導致氣體交換障礙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全身麻醉後</w:t>
            </w:r>
          </w:p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術後疼痛、臥床、腹脹等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numPr>
                <w:ilvl w:val="2"/>
                <w:numId w:val="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低肺容積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肺不張</w:t>
            </w:r>
          </w:p>
          <w:p w:rsidR="00644716" w:rsidRDefault="00644716">
            <w:pPr>
              <w:numPr>
                <w:ilvl w:val="2"/>
                <w:numId w:val="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需積極翻身、呼吸訓練</w:t>
            </w:r>
          </w:p>
        </w:tc>
      </w:tr>
      <w:tr w:rsidR="00000000">
        <w:trPr>
          <w:divId w:val="396326460"/>
        </w:trPr>
        <w:tc>
          <w:tcPr>
            <w:tcW w:w="1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Type IV</w:t>
            </w:r>
          </w:p>
        </w:tc>
        <w:tc>
          <w:tcPr>
            <w:tcW w:w="17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Shock-related Respiratory Failure</w:t>
            </w:r>
          </w:p>
        </w:tc>
        <w:tc>
          <w:tcPr>
            <w:tcW w:w="22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休克造成呼吸肌灌流不足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，進一步惡化呼吸</w:t>
            </w:r>
          </w:p>
        </w:tc>
        <w:tc>
          <w:tcPr>
            <w:tcW w:w="20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敗血性、心源性、出血性休克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numPr>
                <w:ilvl w:val="2"/>
                <w:numId w:val="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呼吸功耗↑，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分配不均</w:t>
            </w:r>
          </w:p>
          <w:p w:rsidR="00644716" w:rsidRDefault="00644716">
            <w:pPr>
              <w:numPr>
                <w:ilvl w:val="2"/>
                <w:numId w:val="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須插管減少肌肉耗氧</w:t>
            </w:r>
          </w:p>
        </w:tc>
      </w:tr>
    </w:tbl>
    <w:p w:rsidR="00644716" w:rsidRDefault="0064471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644716" w:rsidRDefault="0064471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Features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644716" w:rsidRDefault="0064471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呼吸困難（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Dyspnea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44716" w:rsidRDefault="0064471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使用輔助呼吸肌（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Accessory muscle use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44716" w:rsidRDefault="0064471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意識混亂、嗜睡（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Confusion, Lethargy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644716" w:rsidRDefault="0064471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二氧化碳麻醉（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</w:t>
      </w:r>
      <w:r>
        <w:rPr>
          <w:rFonts w:ascii="Cambria Math" w:hAnsi="Cambria Math" w:cs="Calibri"/>
          <w:color w:val="000000"/>
          <w:sz w:val="28"/>
          <w:szCs w:val="28"/>
        </w:rPr>
        <w:t>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narcosis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PaCO</w:t>
      </w:r>
      <w:r>
        <w:rPr>
          <w:rFonts w:ascii="Cambria Math" w:hAnsi="Cambria Math" w:cs="Calibri"/>
          <w:color w:val="000000"/>
          <w:sz w:val="28"/>
          <w:szCs w:val="28"/>
        </w:rPr>
        <w:t>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&gt;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60 mmHg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，即使氧氣看似正常仍有風險</w:t>
      </w:r>
    </w:p>
    <w:p w:rsidR="00644716" w:rsidRDefault="0064471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44716" w:rsidRDefault="0064471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診斷評估（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Diagnostic Evaluation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644716" w:rsidRDefault="0064471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血液氣體分析（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ABG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6"/>
        <w:gridCol w:w="3308"/>
      </w:tblGrid>
      <w:tr w:rsidR="00000000">
        <w:trPr>
          <w:divId w:val="539513740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異常變化</w:t>
            </w:r>
          </w:p>
        </w:tc>
      </w:tr>
      <w:tr w:rsidR="00000000">
        <w:trPr>
          <w:divId w:val="539513740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</w:p>
        </w:tc>
        <w:tc>
          <w:tcPr>
            <w:tcW w:w="3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氧合不良（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hypoxemia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539513740"/>
        </w:trPr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PaCO</w:t>
            </w:r>
            <w:r>
              <w:rPr>
                <w:rFonts w:ascii="Cambria Math" w:hAnsi="Cambria Math"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換氣不足（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hypercapnia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539513740"/>
        </w:trPr>
        <w:tc>
          <w:tcPr>
            <w:tcW w:w="1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</w:t>
            </w:r>
          </w:p>
        </w:tc>
        <w:tc>
          <w:tcPr>
            <w:tcW w:w="33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酸鹼平衡異常，如呼吸性酸中毒</w:t>
            </w:r>
          </w:p>
        </w:tc>
      </w:tr>
    </w:tbl>
    <w:p w:rsidR="00644716" w:rsidRDefault="00644716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644716" w:rsidRDefault="00644716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治療原則（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 Overview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644716" w:rsidRDefault="00644716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氧氣供應方式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08"/>
        <w:gridCol w:w="1439"/>
        <w:gridCol w:w="1274"/>
      </w:tblGrid>
      <w:tr w:rsidR="00000000">
        <w:trPr>
          <w:divId w:val="1464809972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裝置</w:t>
            </w:r>
          </w:p>
        </w:tc>
        <w:tc>
          <w:tcPr>
            <w:tcW w:w="1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流量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L/min</w:t>
            </w:r>
          </w:p>
        </w:tc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FiO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₂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範圍</w:t>
            </w:r>
          </w:p>
        </w:tc>
      </w:tr>
      <w:tr w:rsidR="00000000">
        <w:trPr>
          <w:divId w:val="1464809972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Nasal cannula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40%</w:t>
            </w:r>
          </w:p>
        </w:tc>
      </w:tr>
      <w:tr w:rsidR="00000000">
        <w:trPr>
          <w:divId w:val="1464809972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Face mask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</w:p>
        </w:tc>
      </w:tr>
      <w:tr w:rsidR="00000000">
        <w:trPr>
          <w:divId w:val="1464809972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Venti mask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24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50%</w:t>
            </w:r>
          </w:p>
        </w:tc>
      </w:tr>
      <w:tr w:rsidR="00000000">
        <w:trPr>
          <w:divId w:val="1464809972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Non-rebreather mask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</w:p>
        </w:tc>
        <w:tc>
          <w:tcPr>
            <w:tcW w:w="11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80%</w:t>
            </w:r>
          </w:p>
        </w:tc>
      </w:tr>
      <w:tr w:rsidR="00000000">
        <w:trPr>
          <w:divId w:val="1464809972"/>
        </w:trPr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High-flow nasal cannula</w:t>
            </w:r>
          </w:p>
        </w:tc>
        <w:tc>
          <w:tcPr>
            <w:tcW w:w="1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60</w:t>
            </w:r>
          </w:p>
        </w:tc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44716" w:rsidRDefault="00644716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可達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100%</w:t>
            </w:r>
          </w:p>
        </w:tc>
      </w:tr>
    </w:tbl>
    <w:p w:rsidR="00644716" w:rsidRDefault="00644716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644716" w:rsidRDefault="00644716">
      <w:pPr>
        <w:pStyle w:val="Web"/>
        <w:spacing w:before="0" w:beforeAutospacing="0" w:after="0" w:afterAutospacing="0"/>
        <w:ind w:left="72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32"/>
          <w:szCs w:val="32"/>
        </w:rPr>
        <w:t>REFERENCES</w:t>
      </w:r>
    </w:p>
    <w:p w:rsidR="00644716" w:rsidRDefault="00644716">
      <w:pPr>
        <w:numPr>
          <w:ilvl w:val="1"/>
          <w:numId w:val="7"/>
        </w:numPr>
        <w:textAlignment w:val="center"/>
        <w:rPr>
          <w:rFonts w:ascii="Calibri" w:hAnsi="Calibri" w:cs="Calibri" w:hint="eastAsia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Harrison</w:t>
      </w:r>
    </w:p>
    <w:p w:rsidR="00644716" w:rsidRDefault="00644716">
      <w:pPr>
        <w:numPr>
          <w:ilvl w:val="1"/>
          <w:numId w:val="7"/>
        </w:numPr>
        <w:textAlignment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44716" w:rsidRDefault="00644716" w:rsidP="00644716">
      <w:r>
        <w:separator/>
      </w:r>
    </w:p>
  </w:endnote>
  <w:endnote w:type="continuationSeparator" w:id="0">
    <w:p w:rsidR="00644716" w:rsidRDefault="00644716" w:rsidP="00644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44716" w:rsidRDefault="00644716" w:rsidP="00644716">
      <w:r>
        <w:separator/>
      </w:r>
    </w:p>
  </w:footnote>
  <w:footnote w:type="continuationSeparator" w:id="0">
    <w:p w:rsidR="00644716" w:rsidRDefault="00644716" w:rsidP="006447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01450"/>
    <w:multiLevelType w:val="multilevel"/>
    <w:tmpl w:val="B6B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997923">
    <w:abstractNumId w:val="0"/>
  </w:num>
  <w:num w:numId="2" w16cid:durableId="170042725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 w16cid:durableId="1347094382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02871916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70078265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139770">
    <w:abstractNumId w:val="0"/>
    <w:lvlOverride w:ilvl="1">
      <w:lvl w:ilvl="1">
        <w:numFmt w:val="decimal"/>
        <w:lvlText w:val="%2."/>
        <w:lvlJc w:val="left"/>
      </w:lvl>
    </w:lvlOverride>
  </w:num>
  <w:num w:numId="7" w16cid:durableId="227962205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16"/>
    <w:rsid w:val="001A0DBE"/>
    <w:rsid w:val="0064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63D0EDA-4F5B-4D7B-A9CE-02E4411D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447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4471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447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4471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326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9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