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22E1" w:rsidRDefault="00A922E1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TRALI</w:t>
      </w:r>
    </w:p>
    <w:p w:rsidR="00A922E1" w:rsidRDefault="00A922E1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A922E1" w:rsidRDefault="00A922E1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12:08 AM</w:t>
      </w:r>
    </w:p>
    <w:p w:rsidR="00A922E1" w:rsidRDefault="00A922E1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922E1" w:rsidRDefault="00A922E1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A922E1" w:rsidRDefault="00A922E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A922E1" w:rsidRDefault="00A922E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A922E1" w:rsidRDefault="00A922E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A922E1" w:rsidRDefault="00A922E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A922E1" w:rsidRDefault="00A922E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A922E1" w:rsidRDefault="00A922E1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定義</w:t>
      </w:r>
    </w:p>
    <w:p w:rsidR="00A922E1" w:rsidRDefault="00A922E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 xml:space="preserve">Transfusion-Related </w:t>
      </w:r>
      <w:r>
        <w:rPr>
          <w:rFonts w:ascii="微軟正黑體" w:eastAsia="微軟正黑體" w:hAnsi="微軟正黑體" w:cs="Calibri" w:hint="eastAsia"/>
          <w:sz w:val="28"/>
          <w:szCs w:val="28"/>
        </w:rPr>
        <w:t>Acute Lung Injury</w:t>
      </w:r>
      <w:r>
        <w:rPr>
          <w:rFonts w:ascii="微軟正黑體" w:eastAsia="微軟正黑體" w:hAnsi="微軟正黑體" w:cs="Calibri" w:hint="eastAsia"/>
          <w:sz w:val="28"/>
          <w:szCs w:val="28"/>
        </w:rPr>
        <w:t>，簡稱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TRALI </w:t>
      </w:r>
      <w:r>
        <w:rPr>
          <w:rFonts w:ascii="微軟正黑體" w:eastAsia="微軟正黑體" w:hAnsi="微軟正黑體" w:cs="Calibri" w:hint="eastAsia"/>
          <w:sz w:val="28"/>
          <w:szCs w:val="28"/>
        </w:rPr>
        <w:t>是一臨床症候群，屬於非心源性肺水腫，定義為輸注含血漿的血液製品後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6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小時內</w:t>
      </w:r>
      <w:r>
        <w:rPr>
          <w:rFonts w:ascii="微軟正黑體" w:eastAsia="微軟正黑體" w:hAnsi="微軟正黑體" w:cs="Calibri" w:hint="eastAsia"/>
          <w:sz w:val="28"/>
          <w:szCs w:val="28"/>
        </w:rPr>
        <w:t>，出現急性肺損傷（</w:t>
      </w:r>
      <w:r>
        <w:rPr>
          <w:rFonts w:ascii="微軟正黑體" w:eastAsia="微軟正黑體" w:hAnsi="微軟正黑體" w:cs="Calibri" w:hint="eastAsia"/>
          <w:sz w:val="28"/>
          <w:szCs w:val="28"/>
        </w:rPr>
        <w:t>ALI</w:t>
      </w:r>
      <w:r>
        <w:rPr>
          <w:rFonts w:ascii="微軟正黑體" w:eastAsia="微軟正黑體" w:hAnsi="微軟正黑體" w:cs="Calibri" w:hint="eastAsia"/>
          <w:sz w:val="28"/>
          <w:szCs w:val="28"/>
        </w:rPr>
        <w:t>）的症狀。特徵包括：</w:t>
      </w:r>
    </w:p>
    <w:p w:rsidR="00A922E1" w:rsidRDefault="00A922E1">
      <w:pPr>
        <w:numPr>
          <w:ilvl w:val="2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急性呼吸困難</w:t>
      </w:r>
    </w:p>
    <w:p w:rsidR="00A922E1" w:rsidRDefault="00A922E1">
      <w:pPr>
        <w:numPr>
          <w:ilvl w:val="2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低氧血症</w:t>
      </w:r>
    </w:p>
    <w:p w:rsidR="00A922E1" w:rsidRDefault="00A922E1">
      <w:pPr>
        <w:numPr>
          <w:ilvl w:val="2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X </w:t>
      </w:r>
      <w:r>
        <w:rPr>
          <w:rFonts w:ascii="微軟正黑體" w:eastAsia="微軟正黑體" w:hAnsi="微軟正黑體" w:cs="Calibri" w:hint="eastAsia"/>
          <w:sz w:val="22"/>
          <w:szCs w:val="22"/>
        </w:rPr>
        <w:t>光顯示雙側肺部浸潤</w:t>
      </w:r>
    </w:p>
    <w:p w:rsidR="00A922E1" w:rsidRDefault="00A922E1">
      <w:pPr>
        <w:numPr>
          <w:ilvl w:val="0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病因</w:t>
      </w:r>
    </w:p>
    <w:p w:rsidR="00A922E1" w:rsidRDefault="00A922E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TRALI</w:t>
      </w:r>
      <w:r>
        <w:rPr>
          <w:rFonts w:ascii="微軟正黑體" w:eastAsia="微軟正黑體" w:hAnsi="微軟正黑體" w:cs="Calibri" w:hint="eastAsia"/>
          <w:sz w:val="28"/>
          <w:szCs w:val="28"/>
        </w:rPr>
        <w:t>是因輸血引起的瀰漫性肺損傷所導致，其致病原因可用二次打擊模型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(Two-hit Model) </w:t>
      </w:r>
      <w:r>
        <w:rPr>
          <w:rFonts w:ascii="微軟正黑體" w:eastAsia="微軟正黑體" w:hAnsi="微軟正黑體" w:cs="Calibri" w:hint="eastAsia"/>
          <w:sz w:val="28"/>
          <w:szCs w:val="28"/>
        </w:rPr>
        <w:t>來解釋：</w:t>
      </w:r>
    </w:p>
    <w:p w:rsidR="00A922E1" w:rsidRDefault="00A922E1">
      <w:pPr>
        <w:numPr>
          <w:ilvl w:val="2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第一次打擊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(Baseline)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</w:p>
    <w:p w:rsidR="00A922E1" w:rsidRDefault="00A922E1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慢性酒精濫用、休克、肝臟手術、吸煙、機械通氣時較高的氣道壓力、血管內體液正平衡、低</w:t>
      </w:r>
      <w:r>
        <w:rPr>
          <w:rFonts w:ascii="微軟正黑體" w:eastAsia="微軟正黑體" w:hAnsi="微軟正黑體" w:cs="Calibri" w:hint="eastAsia"/>
          <w:sz w:val="22"/>
          <w:szCs w:val="22"/>
        </w:rPr>
        <w:t>IL-10</w:t>
      </w:r>
      <w:r>
        <w:rPr>
          <w:rFonts w:ascii="微軟正黑體" w:eastAsia="微軟正黑體" w:hAnsi="微軟正黑體" w:cs="Calibri" w:hint="eastAsia"/>
          <w:sz w:val="22"/>
          <w:szCs w:val="22"/>
        </w:rPr>
        <w:t>水平，以及全身性發炎。</w:t>
      </w:r>
    </w:p>
    <w:p w:rsidR="00A922E1" w:rsidRDefault="00A922E1">
      <w:pPr>
        <w:numPr>
          <w:ilvl w:val="2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第二次打擊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輸血相關因素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)</w:t>
      </w:r>
    </w:p>
    <w:p w:rsidR="00A922E1" w:rsidRDefault="00A922E1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抗白血球抗體（約</w:t>
      </w:r>
      <w:r>
        <w:rPr>
          <w:rFonts w:ascii="微軟正黑體" w:eastAsia="微軟正黑體" w:hAnsi="微軟正黑體" w:cs="Calibri" w:hint="eastAsia"/>
          <w:sz w:val="22"/>
          <w:szCs w:val="22"/>
        </w:rPr>
        <w:t>80%</w:t>
      </w:r>
      <w:r>
        <w:rPr>
          <w:rFonts w:ascii="微軟正黑體" w:eastAsia="微軟正黑體" w:hAnsi="微軟正黑體" w:cs="Calibri" w:hint="eastAsia"/>
          <w:sz w:val="22"/>
          <w:szCs w:val="22"/>
        </w:rPr>
        <w:t>的病例）</w:t>
      </w:r>
      <w:r>
        <w:rPr>
          <w:rFonts w:ascii="微軟正黑體" w:eastAsia="微軟正黑體" w:hAnsi="微軟正黑體" w:cs="Calibri" w:hint="eastAsia"/>
          <w:sz w:val="22"/>
          <w:szCs w:val="22"/>
        </w:rPr>
        <w:t>: Anti-HLA class I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Anti-HLA class II</w:t>
      </w:r>
      <w:r>
        <w:rPr>
          <w:rFonts w:ascii="微軟正黑體" w:eastAsia="微軟正黑體" w:hAnsi="微軟正黑體" w:cs="Calibri" w:hint="eastAsia"/>
          <w:sz w:val="22"/>
          <w:szCs w:val="22"/>
        </w:rPr>
        <w:t>以及</w:t>
      </w:r>
      <w:r>
        <w:rPr>
          <w:rFonts w:ascii="微軟正黑體" w:eastAsia="微軟正黑體" w:hAnsi="微軟正黑體" w:cs="Calibri" w:hint="eastAsia"/>
          <w:sz w:val="22"/>
          <w:szCs w:val="22"/>
        </w:rPr>
        <w:t>Anti-HNA</w:t>
      </w:r>
      <w:r>
        <w:rPr>
          <w:rFonts w:ascii="微軟正黑體" w:eastAsia="微軟正黑體" w:hAnsi="微軟正黑體" w:cs="Calibri" w:hint="eastAsia"/>
          <w:sz w:val="22"/>
          <w:szCs w:val="22"/>
        </w:rPr>
        <w:t>抗體</w:t>
      </w:r>
    </w:p>
    <w:p w:rsidR="00A922E1" w:rsidRDefault="00A922E1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非抗體因素（約</w:t>
      </w:r>
      <w:r>
        <w:rPr>
          <w:rFonts w:ascii="微軟正黑體" w:eastAsia="微軟正黑體" w:hAnsi="微軟正黑體" w:cs="Calibri" w:hint="eastAsia"/>
          <w:sz w:val="22"/>
          <w:szCs w:val="22"/>
        </w:rPr>
        <w:t>20%</w:t>
      </w:r>
      <w:r>
        <w:rPr>
          <w:rFonts w:ascii="微軟正黑體" w:eastAsia="微軟正黑體" w:hAnsi="微軟正黑體" w:cs="Calibri" w:hint="eastAsia"/>
          <w:sz w:val="22"/>
          <w:szCs w:val="22"/>
        </w:rPr>
        <w:t>的病例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) : </w:t>
      </w:r>
      <w:r>
        <w:rPr>
          <w:rFonts w:ascii="微軟正黑體" w:eastAsia="微軟正黑體" w:hAnsi="微軟正黑體" w:cs="Calibri" w:hint="eastAsia"/>
          <w:sz w:val="22"/>
          <w:szCs w:val="22"/>
        </w:rPr>
        <w:t>脂質介質、細胞外囊泡和老化血細胞</w:t>
      </w:r>
    </w:p>
    <w:p w:rsidR="00A922E1" w:rsidRDefault="00A922E1">
      <w:pPr>
        <w:numPr>
          <w:ilvl w:val="2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透過第一次打擊，使白血球聚集於肺部血管。於第二次打擊時，造成嚴重發炎反應，使肺部微血管膜通透性上升</w:t>
      </w:r>
    </w:p>
    <w:p w:rsidR="00A922E1" w:rsidRDefault="00A922E1">
      <w:pPr>
        <w:numPr>
          <w:ilvl w:val="0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lastRenderedPageBreak/>
        <w:t>診斷（</w:t>
      </w:r>
      <w:r>
        <w:rPr>
          <w:rFonts w:ascii="微軟正黑體" w:eastAsia="微軟正黑體" w:hAnsi="微軟正黑體" w:cs="Calibri" w:hint="eastAsia"/>
          <w:sz w:val="32"/>
          <w:szCs w:val="32"/>
        </w:rPr>
        <w:t>2019 Canadian Consensus Conference</w:t>
      </w:r>
      <w:r>
        <w:rPr>
          <w:rFonts w:ascii="微軟正黑體" w:eastAsia="微軟正黑體" w:hAnsi="微軟正黑體" w:cs="Calibri" w:hint="eastAsia"/>
          <w:sz w:val="32"/>
          <w:szCs w:val="32"/>
        </w:rPr>
        <w:t>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85"/>
        <w:gridCol w:w="6421"/>
      </w:tblGrid>
      <w:tr w:rsidR="00000000">
        <w:trPr>
          <w:divId w:val="1002318005"/>
        </w:trPr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2E1" w:rsidRDefault="00A922E1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6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2E1" w:rsidRDefault="00A922E1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</w:tr>
      <w:tr w:rsidR="00000000">
        <w:trPr>
          <w:divId w:val="1002318005"/>
        </w:trPr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2E1" w:rsidRDefault="00A922E1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Type 1 TRALI</w:t>
            </w:r>
          </w:p>
        </w:tc>
        <w:tc>
          <w:tcPr>
            <w:tcW w:w="6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2E1" w:rsidRDefault="00A922E1">
            <w:pPr>
              <w:numPr>
                <w:ilvl w:val="1"/>
                <w:numId w:val="2"/>
              </w:numPr>
              <w:spacing w:line="300" w:lineRule="atLeast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輸血後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小時內急性發作</w:t>
            </w:r>
          </w:p>
          <w:p w:rsidR="00A922E1" w:rsidRDefault="00A922E1">
            <w:pPr>
              <w:numPr>
                <w:ilvl w:val="1"/>
                <w:numId w:val="2"/>
              </w:numPr>
              <w:spacing w:line="340" w:lineRule="atLeast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低血氧（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PaO2/FiO2 </w:t>
            </w:r>
            <w:r>
              <w:rPr>
                <w:rFonts w:ascii="Cambria Math" w:hAnsi="Cambria Math"/>
                <w:sz w:val="22"/>
                <w:szCs w:val="22"/>
              </w:rPr>
              <w:t>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300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或室內空氣下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SpO2 &lt; 90%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A922E1" w:rsidRDefault="00A922E1">
            <w:pPr>
              <w:numPr>
                <w:ilvl w:val="1"/>
                <w:numId w:val="2"/>
              </w:numPr>
              <w:spacing w:line="340" w:lineRule="atLeast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影像學檢查（胸部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X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光、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或超音波）顯示雙側肺水腫</w:t>
            </w:r>
          </w:p>
          <w:p w:rsidR="00A922E1" w:rsidRDefault="00A922E1">
            <w:pPr>
              <w:numPr>
                <w:ilvl w:val="1"/>
                <w:numId w:val="2"/>
              </w:numPr>
              <w:spacing w:line="340" w:lineRule="atLeast"/>
              <w:textAlignment w:val="center"/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無左心房高壓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(LAH)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證據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(Non-cardiogenic)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，即使存在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LAH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也非低血氧的主要原因</w:t>
            </w:r>
          </w:p>
          <w:p w:rsidR="00A922E1" w:rsidRDefault="00A922E1">
            <w:pPr>
              <w:numPr>
                <w:ilvl w:val="1"/>
                <w:numId w:val="2"/>
              </w:numPr>
              <w:spacing w:line="340" w:lineRule="atLeast"/>
              <w:textAlignment w:val="center"/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與其他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風險因素無時間相關性</w:t>
            </w:r>
          </w:p>
        </w:tc>
      </w:tr>
      <w:tr w:rsidR="00000000">
        <w:trPr>
          <w:divId w:val="1002318005"/>
        </w:trPr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2E1" w:rsidRDefault="00A922E1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Type 2 </w:t>
            </w:r>
          </w:p>
          <w:p w:rsidR="00A922E1" w:rsidRDefault="00A922E1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TRALI</w:t>
            </w:r>
          </w:p>
        </w:tc>
        <w:tc>
          <w:tcPr>
            <w:tcW w:w="6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2E1" w:rsidRDefault="00A922E1">
            <w:pPr>
              <w:numPr>
                <w:ilvl w:val="1"/>
                <w:numId w:val="3"/>
              </w:numPr>
              <w:spacing w:line="300" w:lineRule="atLeast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符合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TRALI type 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的前四項臨床標準</w:t>
            </w:r>
          </w:p>
          <w:p w:rsidR="00A922E1" w:rsidRDefault="00A922E1">
            <w:pPr>
              <w:numPr>
                <w:ilvl w:val="1"/>
                <w:numId w:val="3"/>
              </w:numPr>
              <w:spacing w:line="340" w:lineRule="atLeast"/>
              <w:textAlignment w:val="center"/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存在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風險因素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或輕度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P/F ratio : 200~300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A922E1" w:rsidRDefault="00A922E1">
            <w:pPr>
              <w:numPr>
                <w:ilvl w:val="1"/>
                <w:numId w:val="3"/>
              </w:numPr>
              <w:spacing w:line="340" w:lineRule="atLeast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輸血前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小時內肺部狀態穩定</w:t>
            </w:r>
          </w:p>
        </w:tc>
      </w:tr>
    </w:tbl>
    <w:p w:rsidR="00A922E1" w:rsidRDefault="00A922E1">
      <w:pPr>
        <w:numPr>
          <w:ilvl w:val="0"/>
          <w:numId w:val="4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治療</w:t>
      </w:r>
    </w:p>
    <w:p w:rsidR="00A922E1" w:rsidRDefault="00A922E1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停止輸送可疑血品</w:t>
      </w:r>
    </w:p>
    <w:p w:rsidR="00A922E1" w:rsidRDefault="00A922E1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支持性治療，必要時使用機械通氣</w:t>
      </w:r>
      <w:r>
        <w:rPr>
          <w:rFonts w:ascii="微軟正黑體" w:eastAsia="微軟正黑體" w:hAnsi="微軟正黑體" w:cs="Calibri" w:hint="eastAsia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sz w:val="28"/>
          <w:szCs w:val="28"/>
        </w:rPr>
        <w:t>參考</w:t>
      </w:r>
      <w:r>
        <w:rPr>
          <w:rFonts w:ascii="微軟正黑體" w:eastAsia="微軟正黑體" w:hAnsi="微軟正黑體" w:cs="Calibri" w:hint="eastAsia"/>
          <w:sz w:val="28"/>
          <w:szCs w:val="28"/>
        </w:rPr>
        <w:t>ARDS</w:t>
      </w:r>
      <w:r>
        <w:rPr>
          <w:rFonts w:ascii="微軟正黑體" w:eastAsia="微軟正黑體" w:hAnsi="微軟正黑體" w:cs="Calibri" w:hint="eastAsia"/>
          <w:sz w:val="28"/>
          <w:szCs w:val="28"/>
        </w:rPr>
        <w:t>治療</w:t>
      </w:r>
      <w:r>
        <w:rPr>
          <w:rFonts w:ascii="微軟正黑體" w:eastAsia="微軟正黑體" w:hAnsi="微軟正黑體" w:cs="Calibri" w:hint="eastAsia"/>
          <w:sz w:val="28"/>
          <w:szCs w:val="28"/>
        </w:rPr>
        <w:t>)</w:t>
      </w:r>
      <w:r>
        <w:rPr>
          <w:rFonts w:ascii="微軟正黑體" w:eastAsia="微軟正黑體" w:hAnsi="微軟正黑體" w:cs="Calibri" w:hint="eastAsia"/>
          <w:sz w:val="28"/>
          <w:szCs w:val="28"/>
        </w:rPr>
        <w:t>，並血液動力學穩定</w:t>
      </w:r>
    </w:p>
    <w:p w:rsidR="00A922E1" w:rsidRDefault="00A922E1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不建議常規使用類固醇</w:t>
      </w:r>
      <w:r>
        <w:rPr>
          <w:rFonts w:ascii="微軟正黑體" w:eastAsia="微軟正黑體" w:hAnsi="微軟正黑體" w:cs="Calibri" w:hint="eastAsia"/>
          <w:sz w:val="28"/>
          <w:szCs w:val="28"/>
        </w:rPr>
        <w:t>，缺乏足夠臨床研究支持其效果</w:t>
      </w:r>
    </w:p>
    <w:p w:rsidR="00A922E1" w:rsidRDefault="00A922E1">
      <w:pPr>
        <w:pStyle w:val="Web"/>
        <w:spacing w:before="120" w:beforeAutospacing="0" w:after="120" w:afterAutospacing="0" w:line="360" w:lineRule="atLeast"/>
        <w:ind w:left="540"/>
        <w:rPr>
          <w:rFonts w:ascii="微軟正黑體" w:eastAsia="微軟正黑體" w:hAnsi="微軟正黑體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A922E1" w:rsidRDefault="00A922E1">
      <w:pPr>
        <w:numPr>
          <w:ilvl w:val="0"/>
          <w:numId w:val="5"/>
        </w:numPr>
        <w:spacing w:line="42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預後</w:t>
      </w:r>
    </w:p>
    <w:p w:rsidR="00A922E1" w:rsidRDefault="00A922E1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大多數患者在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24-48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小時內會改善</w:t>
      </w:r>
    </w:p>
    <w:p w:rsidR="00A922E1" w:rsidRDefault="00A922E1">
      <w:pPr>
        <w:numPr>
          <w:ilvl w:val="1"/>
          <w:numId w:val="5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通常是自限性疾病</w:t>
      </w:r>
    </w:p>
    <w:p w:rsidR="00A922E1" w:rsidRDefault="00A922E1">
      <w:pPr>
        <w:numPr>
          <w:ilvl w:val="1"/>
          <w:numId w:val="5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死亡率：</w:t>
      </w:r>
    </w:p>
    <w:p w:rsidR="00A922E1" w:rsidRDefault="00A922E1">
      <w:pPr>
        <w:numPr>
          <w:ilvl w:val="2"/>
          <w:numId w:val="5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重症患者的存活率約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53%</w:t>
      </w:r>
    </w:p>
    <w:p w:rsidR="00A922E1" w:rsidRDefault="00A922E1">
      <w:pPr>
        <w:numPr>
          <w:ilvl w:val="2"/>
          <w:numId w:val="5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相較於一般急性肺損傷患者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存活率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83%)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明顯較低</w:t>
      </w:r>
    </w:p>
    <w:p w:rsidR="00A922E1" w:rsidRDefault="00A922E1">
      <w:pPr>
        <w:numPr>
          <w:ilvl w:val="0"/>
          <w:numId w:val="5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預防策略</w:t>
      </w:r>
    </w:p>
    <w:p w:rsidR="00A922E1" w:rsidRDefault="00A922E1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使用男性或未妊娠女性的血液</w:t>
      </w: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懷孕使產生</w:t>
      </w: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anti-HLA</w:t>
      </w: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抗體機會增加</w:t>
      </w: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)</w:t>
      </w:r>
    </w:p>
    <w:p w:rsidR="00A922E1" w:rsidRDefault="00A922E1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使用洗滌且新鮮的血品</w:t>
      </w:r>
    </w:p>
    <w:p w:rsidR="00A922E1" w:rsidRDefault="00A922E1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捐血者若有引起</w:t>
      </w: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TRALI</w:t>
      </w: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的病例應通報</w:t>
      </w:r>
    </w:p>
    <w:p w:rsidR="00A922E1" w:rsidRDefault="00A922E1">
      <w:pPr>
        <w:numPr>
          <w:ilvl w:val="0"/>
          <w:numId w:val="5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與</w:t>
      </w:r>
      <w:r>
        <w:rPr>
          <w:rFonts w:ascii="微軟正黑體" w:eastAsia="微軟正黑體" w:hAnsi="微軟正黑體" w:cs="Calibri" w:hint="eastAsia"/>
          <w:sz w:val="32"/>
          <w:szCs w:val="32"/>
        </w:rPr>
        <w:t>TACO(Transfusion-Associated Circulatory Overload)</w:t>
      </w:r>
      <w:r>
        <w:rPr>
          <w:rFonts w:ascii="微軟正黑體" w:eastAsia="微軟正黑體" w:hAnsi="微軟正黑體" w:cs="Calibri" w:hint="eastAsia"/>
          <w:sz w:val="32"/>
          <w:szCs w:val="32"/>
        </w:rPr>
        <w:t>比較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53"/>
        <w:gridCol w:w="3126"/>
        <w:gridCol w:w="2027"/>
      </w:tblGrid>
      <w:tr w:rsidR="00000000">
        <w:trPr>
          <w:divId w:val="1856915506"/>
        </w:trPr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2E1" w:rsidRDefault="00A922E1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特徵</w:t>
            </w:r>
          </w:p>
        </w:tc>
        <w:tc>
          <w:tcPr>
            <w:tcW w:w="3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2E1" w:rsidRDefault="00A922E1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TRALI</w:t>
            </w:r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2E1" w:rsidRDefault="00A922E1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TACO</w:t>
            </w:r>
          </w:p>
        </w:tc>
      </w:tr>
      <w:tr w:rsidR="00000000">
        <w:trPr>
          <w:divId w:val="1856915506"/>
        </w:trPr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2E1" w:rsidRDefault="00A922E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病理機制</w:t>
            </w:r>
          </w:p>
        </w:tc>
        <w:tc>
          <w:tcPr>
            <w:tcW w:w="3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2E1" w:rsidRDefault="00A922E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非心源性肺水腫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抗體或非抗體介導的發炎反應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肺部微血管通透性增加</w:t>
            </w:r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2E1" w:rsidRDefault="00A922E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心源性肺水腫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體液過量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左心房壓力升高</w:t>
            </w:r>
          </w:p>
        </w:tc>
      </w:tr>
      <w:tr w:rsidR="00000000">
        <w:trPr>
          <w:divId w:val="1856915506"/>
        </w:trPr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2E1" w:rsidRDefault="00A922E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臨床表現</w:t>
            </w:r>
          </w:p>
        </w:tc>
        <w:tc>
          <w:tcPr>
            <w:tcW w:w="3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2E1" w:rsidRDefault="00A922E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輸血後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小時內發生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雙側肺浸潤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無左心房高壓證據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可能出現發燒</w:t>
            </w:r>
          </w:p>
        </w:tc>
        <w:tc>
          <w:tcPr>
            <w:tcW w:w="2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2E1" w:rsidRDefault="00A922E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循環負荷過重表現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左心衰竭表現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血壓可能升高</w:t>
            </w:r>
          </w:p>
        </w:tc>
      </w:tr>
      <w:tr w:rsidR="00000000">
        <w:trPr>
          <w:divId w:val="1856915506"/>
        </w:trPr>
        <w:tc>
          <w:tcPr>
            <w:tcW w:w="2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2E1" w:rsidRDefault="00A922E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CXR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特徵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其實就是</w:t>
            </w:r>
          </w:p>
          <w:p w:rsidR="00A922E1" w:rsidRDefault="00A922E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non-cardiogenic vs </w:t>
            </w:r>
          </w:p>
          <w:p w:rsidR="00A922E1" w:rsidRDefault="00A922E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cardiogenic pulmonary </w:t>
            </w:r>
          </w:p>
          <w:p w:rsidR="00A922E1" w:rsidRDefault="00A922E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edema)</w:t>
            </w:r>
          </w:p>
        </w:tc>
        <w:tc>
          <w:tcPr>
            <w:tcW w:w="3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2E1" w:rsidRDefault="00A922E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雙側對稱性浸潤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正常心臟大小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無肺門充血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無胸腔積液</w:t>
            </w:r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2E1" w:rsidRDefault="00A922E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雙側浸潤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心臟擴大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肺門充血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可見胸腔積液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Kerley B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線</w:t>
            </w:r>
          </w:p>
        </w:tc>
      </w:tr>
      <w:tr w:rsidR="00000000">
        <w:trPr>
          <w:divId w:val="1856915506"/>
        </w:trPr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2E1" w:rsidRDefault="00A922E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治療方式</w:t>
            </w:r>
          </w:p>
        </w:tc>
        <w:tc>
          <w:tcPr>
            <w:tcW w:w="3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2E1" w:rsidRDefault="00A922E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支持性治療為主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維持氧氣供應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利尿劑無效</w:t>
            </w:r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2E1" w:rsidRDefault="00A922E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停止輸血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使用利尿劑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降低前負荷</w:t>
            </w:r>
          </w:p>
        </w:tc>
      </w:tr>
      <w:tr w:rsidR="00000000">
        <w:trPr>
          <w:divId w:val="1856915506"/>
        </w:trPr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2E1" w:rsidRDefault="00A922E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預防策略</w:t>
            </w:r>
          </w:p>
        </w:tc>
        <w:tc>
          <w:tcPr>
            <w:tcW w:w="3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2E1" w:rsidRDefault="00A922E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篩查高風險供血者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優先使用男性供血者血漿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避免多次妊娠女性血製品</w:t>
            </w:r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2E1" w:rsidRDefault="00A922E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控制輸血速度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監測輸血量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評估心功能狀態</w:t>
            </w:r>
          </w:p>
        </w:tc>
      </w:tr>
      <w:tr w:rsidR="00000000">
        <w:trPr>
          <w:divId w:val="1856915506"/>
        </w:trPr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2E1" w:rsidRDefault="00A922E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預後</w:t>
            </w:r>
          </w:p>
        </w:tc>
        <w:tc>
          <w:tcPr>
            <w:tcW w:w="3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2E1" w:rsidRDefault="00A922E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24-48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小時內可能改善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重症患者存活率約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53%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通常為自限性</w:t>
            </w:r>
          </w:p>
        </w:tc>
        <w:tc>
          <w:tcPr>
            <w:tcW w:w="2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2E1" w:rsidRDefault="00A922E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對治療反應較好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及時處理預後良好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取決於基礎心功能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</w:p>
        </w:tc>
      </w:tr>
    </w:tbl>
    <w:p w:rsidR="00A922E1" w:rsidRDefault="00A922E1">
      <w:pPr>
        <w:pStyle w:val="Web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3048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2E1" w:rsidRDefault="00A922E1">
      <w:pPr>
        <w:numPr>
          <w:ilvl w:val="0"/>
          <w:numId w:val="6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Microsoft JhengHei Light" w:eastAsia="Microsoft JhengHei Light" w:hAnsi="Microsoft JhengHei Light" w:cs="Calibri" w:hint="eastAsia"/>
          <w:b/>
          <w:bCs/>
          <w:sz w:val="32"/>
          <w:szCs w:val="32"/>
        </w:rPr>
        <w:t>參考資料</w:t>
      </w:r>
    </w:p>
    <w:p w:rsidR="00A922E1" w:rsidRDefault="00A922E1">
      <w:pPr>
        <w:numPr>
          <w:ilvl w:val="1"/>
          <w:numId w:val="6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212121"/>
          <w:sz w:val="22"/>
          <w:szCs w:val="22"/>
        </w:rPr>
        <w:t xml:space="preserve">Semple JW, Rebetz J, Kapur R. Transfusion-associated </w:t>
      </w:r>
      <w:r>
        <w:rPr>
          <w:rFonts w:ascii="Microsoft JhengHei Light" w:eastAsia="Microsoft JhengHei Light" w:hAnsi="Microsoft JhengHei Light" w:cs="Calibri" w:hint="eastAsia"/>
          <w:color w:val="212121"/>
          <w:sz w:val="22"/>
          <w:szCs w:val="22"/>
        </w:rPr>
        <w:t>circulatory overload and transfusion-related acute lung injury. Blood. 2019 Apr 25;133(17):1840-1853. doi: 10.1182/blood-2018-10-860809</w:t>
      </w:r>
    </w:p>
    <w:p w:rsidR="00A922E1" w:rsidRDefault="00A922E1">
      <w:pPr>
        <w:numPr>
          <w:ilvl w:val="1"/>
          <w:numId w:val="6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212121"/>
          <w:sz w:val="22"/>
          <w:szCs w:val="22"/>
        </w:rPr>
        <w:t>Tung JP, Chiaretti S, Dean MM, Sultana AJ, Reade MC, Fung YL. Transfusion-related acute lung injury (TRALI): Potential pathways of development, strategies for prevention and treatment, and future research directions. Blood Rev. 2022 May;53:100926. doi: 10.1016/j.blre.2021.100926</w:t>
      </w:r>
    </w:p>
    <w:p w:rsidR="00A922E1" w:rsidRDefault="00A922E1">
      <w:pPr>
        <w:numPr>
          <w:ilvl w:val="1"/>
          <w:numId w:val="6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212121"/>
          <w:sz w:val="22"/>
          <w:szCs w:val="22"/>
        </w:rPr>
        <w:t>Goel R, Tobian AAR, Shaz BH. Noninfectious transfusion-associated adverse events and their mitigation strategies. Blood. 2019 Apr 25;133(17):1831-1839. doi: 10.1182/blood-2018-10-833988</w:t>
      </w:r>
    </w:p>
    <w:p w:rsidR="00A922E1" w:rsidRDefault="00A922E1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922E1" w:rsidRDefault="00A922E1" w:rsidP="00A922E1">
      <w:r>
        <w:separator/>
      </w:r>
    </w:p>
  </w:endnote>
  <w:endnote w:type="continuationSeparator" w:id="0">
    <w:p w:rsidR="00A922E1" w:rsidRDefault="00A922E1" w:rsidP="00A92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922E1" w:rsidRDefault="00A922E1" w:rsidP="00A922E1">
      <w:r>
        <w:separator/>
      </w:r>
    </w:p>
  </w:footnote>
  <w:footnote w:type="continuationSeparator" w:id="0">
    <w:p w:rsidR="00A922E1" w:rsidRDefault="00A922E1" w:rsidP="00A92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342A"/>
    <w:multiLevelType w:val="multilevel"/>
    <w:tmpl w:val="E14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61B57"/>
    <w:multiLevelType w:val="multilevel"/>
    <w:tmpl w:val="1CA2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E4652"/>
    <w:multiLevelType w:val="multilevel"/>
    <w:tmpl w:val="EC24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C317F5"/>
    <w:multiLevelType w:val="multilevel"/>
    <w:tmpl w:val="982A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0021E8"/>
    <w:multiLevelType w:val="multilevel"/>
    <w:tmpl w:val="0FF2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595464"/>
    <w:multiLevelType w:val="multilevel"/>
    <w:tmpl w:val="10FE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3526600">
    <w:abstractNumId w:val="5"/>
  </w:num>
  <w:num w:numId="2" w16cid:durableId="21977297">
    <w:abstractNumId w:val="0"/>
  </w:num>
  <w:num w:numId="3" w16cid:durableId="790439496">
    <w:abstractNumId w:val="1"/>
  </w:num>
  <w:num w:numId="4" w16cid:durableId="1634407753">
    <w:abstractNumId w:val="2"/>
  </w:num>
  <w:num w:numId="5" w16cid:durableId="1755274091">
    <w:abstractNumId w:val="4"/>
  </w:num>
  <w:num w:numId="6" w16cid:durableId="939027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E1"/>
    <w:rsid w:val="000365CB"/>
    <w:rsid w:val="00A9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14EEDDA-ABBB-4B19-ACED-CAFA1950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A922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22E1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A922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22E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318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2025-07-24T20:02:00Z</dcterms:created>
  <dcterms:modified xsi:type="dcterms:W3CDTF">2025-07-24T20:02:00Z</dcterms:modified>
</cp:coreProperties>
</file>