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AAB" w:rsidRDefault="004A1AAB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靜脈血栓栓塞症（</w:t>
      </w: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Venous Thromboembolism, VTE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）</w:t>
      </w:r>
    </w:p>
    <w:p w:rsidR="004A1AAB" w:rsidRDefault="004A1AA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March 25, 2025</w:t>
      </w:r>
    </w:p>
    <w:p w:rsidR="004A1AAB" w:rsidRDefault="004A1AA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11:21 PM</w:t>
      </w:r>
    </w:p>
    <w:p w:rsidR="004A1AAB" w:rsidRDefault="004A1AA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4A1AAB" w:rsidRDefault="004A1AAB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包含深層靜脈血栓（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Deep Venous Thrombosis, 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及肺栓塞（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Pulmonary Embolism,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），是全球重要的心血管疾病之一。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全球概況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美國每年約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萬至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萬人死於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，是住院患者最常見的可預防死亡原因。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加拿大研究顯示，近半數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年內出現運動受限、步行距離減少、呼吸困難，影響生活品質。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台灣現況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的確切盛行率不明，但根據衛福部統計，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的發生率在近年逐漸增加。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Virchow's Triad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（三要素）</w:t>
      </w:r>
    </w:p>
    <w:p w:rsidR="004A1AAB" w:rsidRDefault="004A1AAB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的形成與三大因素有關：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靜脈滯留（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Venous Stasis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）：長期臥床、久坐、飛行旅程等。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高凝狀態（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Hypercoagulability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）：遺傳性或後天性凝血異常（如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Factor V Leiden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突變）。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血管內皮損傷（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Endothelial Injury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）：外傷、手術、發炎等。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遺傳因素：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Factor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 Leiden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Prothrombin Gene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突變、抗凝血蛋白（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Antithrombin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Protein C/S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）缺乏。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後天因素：癌症、肥胖、抽菸、高血壓、慢性腎病（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）、慢性阻塞性肺病（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）、長途旅行、避孕藥、懷孕、手術、外傷等。</w:t>
      </w:r>
    </w:p>
    <w:p w:rsidR="004A1AAB" w:rsidRDefault="004A1AA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血栓形成機制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血栓形成機制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靜脈滯留，高凝血狀態和血管內皮損傷都會誘導血小板釋放微粒（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Microparticles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），微粒與嗜中性球形成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Neutrophil Extracellular Traps, NETs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，促進凝血，造成血栓。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栓塞形成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深層靜脈血栓（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）如何導致肺栓塞（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）？</w:t>
      </w:r>
    </w:p>
    <w:p w:rsidR="004A1AAB" w:rsidRDefault="004A1AAB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血栓脫落，可隨靜脈血流經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下腔靜脈（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），進入右心房（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肺動脈（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），最終導致急性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A1AAB" w:rsidRDefault="004A1AAB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許多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患者可能沒有明顯的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，因為血栓已經完全脫落並進入肺部，導致難以在下肢找到血栓。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肺栓塞的生理影響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氣體交換異常：低氧血症、死腔增加。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血流動力學異常：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肺血管阻力（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Vascular Resistance, PVR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）上升，導致肺高壓。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）擴張與功能不全，可能導致右心衰竭。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肺功能異常：肺泡過度換氣、支氣管收縮、肺順應性降低。</w:t>
      </w:r>
    </w:p>
    <w:p w:rsidR="004A1AAB" w:rsidRDefault="004A1AA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VTE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的診斷：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VTE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的診斷需要結合臨床表現（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Clinical Evaluation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）、實驗室檢查（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Laboratory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Tests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）、影像學（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Imaging Studies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），以確認深層靜脈血栓（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的存在。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的症狀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小腿抽筋樣疼痛（</w:t>
      </w:r>
      <w:r>
        <w:rPr>
          <w:rFonts w:ascii="Calibri" w:hAnsi="Calibri" w:cs="Calibri"/>
          <w:color w:val="C00000"/>
          <w:sz w:val="22"/>
          <w:szCs w:val="22"/>
        </w:rPr>
        <w:t>Charley Horse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，且會隨時間加劇。（最常見）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小腿腫脹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皮膚發紅或發熱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Homan's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（背屈足部時小腿疼痛）（敏感度低）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的症狀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不明原因呼吸急促（最常見）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胸痛（可能為胸膜炎樣疼痛）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低血氧、呼吸性鹼中毒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嚴重時可能發生休克、右心衰竭、猝死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風險評估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Wells Score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是最常用來評估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風險的臨床決策工具。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Wells Score for DVT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97"/>
        <w:gridCol w:w="834"/>
      </w:tblGrid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臨床變項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分數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活躍性癌症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癱瘓、偏癱，或近期石膏固定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臥床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週內接受大手術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深靜脈分布區域壓痛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整條腿腫脹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單側小腿腫脹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&gt;3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（與對側比較）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凹陷性水腫（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Pitting Edema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側枝靜脈擴張（非靜脈曲張）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450902394"/>
        </w:trPr>
        <w:tc>
          <w:tcPr>
            <w:tcW w:w="3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一樣可能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-2</w:t>
            </w:r>
          </w:p>
        </w:tc>
      </w:tr>
    </w:tbl>
    <w:p w:rsidR="004A1AAB" w:rsidRDefault="004A1AAB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評估結果：</w:t>
      </w:r>
    </w:p>
    <w:p w:rsidR="004A1AAB" w:rsidRDefault="004A1AAB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低風險：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分或更低</w:t>
      </w:r>
    </w:p>
    <w:p w:rsidR="004A1AAB" w:rsidRDefault="004A1AAB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中等風險：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1-2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</w:t>
      </w:r>
    </w:p>
    <w:p w:rsidR="004A1AAB" w:rsidRDefault="004A1AAB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高風險：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</w:t>
      </w:r>
    </w:p>
    <w:p w:rsidR="004A1AAB" w:rsidRDefault="004A1AAB">
      <w:pPr>
        <w:pStyle w:val="Web"/>
        <w:spacing w:before="0" w:beforeAutospacing="0" w:after="0" w:afterAutospacing="0"/>
        <w:ind w:left="288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Wells Score for PE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9"/>
        <w:gridCol w:w="834"/>
      </w:tblGrid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臨床變項</w:t>
            </w:r>
          </w:p>
        </w:tc>
        <w:tc>
          <w:tcPr>
            <w:tcW w:w="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分數</w:t>
            </w:r>
          </w:p>
        </w:tc>
      </w:tr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</w:t>
            </w:r>
          </w:p>
        </w:tc>
      </w:tr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其他診斷可能性較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</w:t>
            </w:r>
          </w:p>
        </w:tc>
      </w:tr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1549875931"/>
        </w:trPr>
        <w:tc>
          <w:tcPr>
            <w:tcW w:w="3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**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臥床超過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週內接受大手術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既往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DVT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+1.5</w:t>
            </w:r>
          </w:p>
        </w:tc>
      </w:tr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  <w:tr w:rsidR="00000000">
        <w:trPr>
          <w:divId w:val="1549875931"/>
        </w:trPr>
        <w:tc>
          <w:tcPr>
            <w:tcW w:w="3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Active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</w:t>
            </w:r>
          </w:p>
        </w:tc>
      </w:tr>
    </w:tbl>
    <w:p w:rsidR="004A1AAB" w:rsidRDefault="004A1AAB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評估結果：</w:t>
      </w:r>
    </w:p>
    <w:p w:rsidR="004A1AAB" w:rsidRDefault="004A1AAB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低風險（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建議先檢測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D-dimer</w:t>
      </w:r>
    </w:p>
    <w:p w:rsidR="004A1AAB" w:rsidRDefault="004A1AAB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&gt;4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建議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直接進行影像學檢查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肺血管攝影）</w:t>
      </w:r>
      <w:r>
        <w:rPr>
          <w:rFonts w:ascii="Calibri" w:hAnsi="Calibri" w:cs="Calibri"/>
          <w:sz w:val="22"/>
          <w:szCs w:val="22"/>
        </w:rPr>
        <w:br/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實驗室檢測（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Laboratory Tests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D-dimer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檢測：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高敏感度（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&gt;95%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），但特異性低（許多其他疾病也會升高）。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用於排除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DVT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，而非確診。</w:t>
      </w:r>
    </w:p>
    <w:p w:rsidR="004A1AAB" w:rsidRDefault="004A1AA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影像學檢查（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Imaging Studies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深層靜脈血栓（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）診斷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靜脈超音波（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Venous Ultrasonography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）（首選）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主要依據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靜脈壓縮性降低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Vein Compressibility Loss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）判斷。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肺栓塞（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）診斷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CT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肺血管攝影（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CT Pulmonary Angiography, CTPA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）（首選）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具高度特異性，可直接觀察肺動脈內的血栓。</w:t>
      </w:r>
    </w:p>
    <w:p w:rsidR="004A1AAB" w:rsidRDefault="004A1AA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V/Q scan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灌注掃描）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腎功能不佳或對比劑過敏患者。</w:t>
      </w:r>
    </w:p>
    <w:p w:rsidR="004A1AAB" w:rsidRDefault="004A1AA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高灌注缺陷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高度懷疑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Differential 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可與以下疾病混淆：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2"/>
        <w:gridCol w:w="3089"/>
      </w:tblGrid>
      <w:tr w:rsidR="00000000">
        <w:trPr>
          <w:divId w:val="1640767438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鑑別特徵</w:t>
            </w:r>
          </w:p>
        </w:tc>
      </w:tr>
      <w:tr w:rsidR="00000000">
        <w:trPr>
          <w:divId w:val="1640767438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發燒、痰液、肺部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光浸潤影</w:t>
            </w:r>
          </w:p>
        </w:tc>
      </w:tr>
      <w:tr w:rsidR="00000000">
        <w:trPr>
          <w:divId w:val="1640767438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心電圖異常、心臟酵素升高</w:t>
            </w:r>
          </w:p>
        </w:tc>
      </w:tr>
      <w:tr w:rsidR="00000000">
        <w:trPr>
          <w:divId w:val="1640767438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Pneumothorax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突發單側胸痛，聽診無呼吸音</w:t>
            </w:r>
          </w:p>
        </w:tc>
      </w:tr>
      <w:tr w:rsidR="00000000">
        <w:trPr>
          <w:divId w:val="1640767438"/>
        </w:trPr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胸痛隨體位改變，心包摩擦音</w:t>
            </w:r>
          </w:p>
        </w:tc>
      </w:tr>
    </w:tbl>
    <w:p w:rsidR="004A1AAB" w:rsidRDefault="004A1AAB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此外，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DVT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也需與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Baker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囊腫破裂、蜂窩組織炎（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Cellulitis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）、急性靜脈功能不全（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Acute Venous Insufficiency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等區分。</w:t>
      </w:r>
    </w:p>
    <w:p w:rsidR="004A1AAB" w:rsidRDefault="004A1AA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抗凝治療（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Anticoagulation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8"/>
        <w:gridCol w:w="1830"/>
        <w:gridCol w:w="1878"/>
      </w:tblGrid>
      <w:tr w:rsidR="00000000">
        <w:trPr>
          <w:divId w:val="135773280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主要適應症</w:t>
            </w:r>
          </w:p>
        </w:tc>
      </w:tr>
      <w:tr w:rsidR="00000000">
        <w:trPr>
          <w:divId w:val="135773280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Heparin (UFH, LMWH)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抑制凝血因子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Xa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IIa</w:t>
            </w:r>
          </w:p>
        </w:tc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DVT/PE</w:t>
            </w:r>
          </w:p>
        </w:tc>
      </w:tr>
      <w:tr w:rsidR="00000000">
        <w:trPr>
          <w:divId w:val="135773280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</w:p>
        </w:tc>
        <w:tc>
          <w:tcPr>
            <w:tcW w:w="2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抑制維生素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K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依賴性凝血因子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長期抗凝治療</w:t>
            </w:r>
          </w:p>
        </w:tc>
      </w:tr>
      <w:tr w:rsidR="00000000">
        <w:trPr>
          <w:divId w:val="1357732809"/>
        </w:trPr>
        <w:tc>
          <w:tcPr>
            <w:tcW w:w="3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DOACs (Rivaroxaban, Apixaban, Dabigatran)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直接抑制凝血因子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Xa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IIa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無需監測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INR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，可用於長期抗凝</w:t>
            </w:r>
          </w:p>
        </w:tc>
      </w:tr>
    </w:tbl>
    <w:p w:rsidR="004A1AAB" w:rsidRDefault="004A1AAB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其他治療</w:t>
      </w:r>
    </w:p>
    <w:p w:rsidR="004A1AAB" w:rsidRDefault="004A1AAB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血栓溶解劑（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）：適用於低血壓或嚴重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4A1AAB" w:rsidRDefault="004A1AAB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下腔靜脈濾網（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IVC filter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）：適用於無法使用抗凝劑者。</w:t>
      </w:r>
    </w:p>
    <w:p w:rsidR="004A1AAB" w:rsidRDefault="004A1AAB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手術取栓（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Embolectomy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）：適用於急性大面積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且抗凝無效者。</w:t>
      </w:r>
    </w:p>
    <w:p w:rsidR="004A1AAB" w:rsidRDefault="004A1AAB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預後與預防（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Prognosis &amp; 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若未治療，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DVT 50%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可能發展為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則可能導致猝死。</w:t>
      </w:r>
    </w:p>
    <w:p w:rsidR="004A1AAB" w:rsidRDefault="004A1AA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預防措施：早期活動、壓力襪、藥物預防（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Heparin, DOACs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4A1AAB" w:rsidRDefault="004A1AAB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4A1AAB" w:rsidRDefault="004A1AAB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4A1AAB" w:rsidRDefault="004A1AAB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4A1AAB" w:rsidRDefault="004A1AAB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Washington Manual of Medical Therapeutics, 36th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4A1AAB" w:rsidRDefault="004A1AAB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USMLE Step 2 CK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相關資料</w:t>
      </w:r>
    </w:p>
    <w:p w:rsidR="004A1AAB" w:rsidRDefault="004A1AAB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台灣疾病管制署（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color w:val="000000"/>
            <w:sz w:val="22"/>
            <w:szCs w:val="22"/>
          </w:rPr>
          <w:t>https://data.cdc.gov.tw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4A1AAB" w:rsidRDefault="004A1AA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1AAB" w:rsidRDefault="004A1AA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32"/>
          <w:szCs w:val="32"/>
        </w:rPr>
        <w:t>修改內容</w:t>
      </w:r>
    </w:p>
    <w:p w:rsidR="004A1AAB" w:rsidRDefault="004A1AA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A1AAB" w:rsidRDefault="004A1AAB">
      <w:pPr>
        <w:pStyle w:val="3"/>
        <w:spacing w:before="0" w:beforeAutospacing="0" w:after="0" w:afterAutospacing="0"/>
        <w:ind w:left="1260"/>
        <w:rPr>
          <w:rFonts w:ascii="Calibri" w:hAnsi="Calibri" w:cs="Calibri" w:hint="eastAsia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t>DOAC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t>的表格對比要有喔</w:t>
      </w:r>
      <w:r>
        <w:rPr>
          <w:rFonts w:ascii="Calibri" w:hAnsi="Calibri" w:cs="Calibri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DOACs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對照總表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2"/>
        <w:gridCol w:w="1033"/>
        <w:gridCol w:w="878"/>
        <w:gridCol w:w="1274"/>
        <w:gridCol w:w="1551"/>
        <w:gridCol w:w="600"/>
        <w:gridCol w:w="1812"/>
      </w:tblGrid>
      <w:tr w:rsidR="00000000">
        <w:trPr>
          <w:divId w:val="1623077288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機轉</w:t>
            </w:r>
          </w:p>
        </w:tc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常見商品名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常用劑量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主要副作用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特殊注意事項</w:t>
            </w:r>
          </w:p>
        </w:tc>
      </w:tr>
      <w:tr w:rsidR="00000000">
        <w:trPr>
          <w:divId w:val="1623077288"/>
        </w:trPr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Rivaroxaban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Xarelto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預防（髖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膝關節置換）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15 mg BID × 21 </w:t>
            </w:r>
            <w:r>
              <w:rPr>
                <w:rFonts w:ascii="Calibri" w:hAnsi="Calibri" w:cs="Calibri"/>
                <w:sz w:val="22"/>
                <w:szCs w:val="22"/>
              </w:rPr>
              <w:t>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20 mg QD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肝功能異常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隨餐服用吸收佳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腎功能不佳需調整劑量（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30 </w:t>
            </w:r>
            <w:r>
              <w:rPr>
                <w:rFonts w:ascii="Calibri" w:hAnsi="Calibri" w:cs="Calibri"/>
                <w:sz w:val="22"/>
                <w:szCs w:val="22"/>
              </w:rPr>
              <w:t>禁用）</w:t>
            </w:r>
          </w:p>
        </w:tc>
      </w:tr>
      <w:tr w:rsidR="00000000">
        <w:trPr>
          <w:divId w:val="1623077288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Apixaban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Eliquis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 mg BID × 7 </w:t>
            </w:r>
            <w:r>
              <w:rPr>
                <w:rFonts w:ascii="Calibri" w:hAnsi="Calibri" w:cs="Calibri"/>
                <w:sz w:val="22"/>
                <w:szCs w:val="22"/>
              </w:rPr>
              <w:t>天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5 mg BID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出血（相對較低）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噁心、腹瀉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出血風險最低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腎功能不佳（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15 </w:t>
            </w:r>
            <w:r>
              <w:rPr>
                <w:rFonts w:ascii="Calibri" w:hAnsi="Calibri" w:cs="Calibri"/>
                <w:sz w:val="22"/>
                <w:szCs w:val="22"/>
              </w:rPr>
              <w:t>建議避免）</w:t>
            </w:r>
          </w:p>
        </w:tc>
      </w:tr>
      <w:tr w:rsidR="00000000">
        <w:trPr>
          <w:divId w:val="1623077288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Edoxaban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Factor Xa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Lixiana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VTE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DVT/PE</w:t>
            </w:r>
            <w:r>
              <w:rPr>
                <w:rFonts w:ascii="Calibri" w:hAnsi="Calibri" w:cs="Calibri"/>
                <w:sz w:val="22"/>
                <w:szCs w:val="22"/>
              </w:rPr>
              <w:t>）治療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- 60 mg QD</w:t>
            </w:r>
            <w:r>
              <w:rPr>
                <w:rFonts w:ascii="Calibri" w:hAnsi="Calibri" w:cs="Calibri"/>
                <w:sz w:val="22"/>
                <w:szCs w:val="22"/>
              </w:rPr>
              <w:t>（治療前需用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parenteral anticoagulation ≥5</w:t>
            </w:r>
            <w:r>
              <w:rPr>
                <w:rFonts w:ascii="Calibri" w:hAnsi="Calibri" w:cs="Calibri"/>
                <w:sz w:val="22"/>
                <w:szCs w:val="22"/>
              </w:rPr>
              <w:t>天）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肝酵素上升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CrCl &gt;95 ml/min</w:t>
            </w:r>
            <w:r>
              <w:rPr>
                <w:rFonts w:ascii="Calibri" w:hAnsi="Calibri" w:cs="Calibri"/>
                <w:sz w:val="22"/>
                <w:szCs w:val="22"/>
              </w:rPr>
              <w:t>：不建議用於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</w:t>
            </w:r>
            <w:r>
              <w:rPr>
                <w:rFonts w:ascii="Calibri" w:hAnsi="Calibri" w:cs="Calibri"/>
                <w:sz w:val="22"/>
                <w:szCs w:val="22"/>
              </w:rPr>
              <w:t>（因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stroke </w:t>
            </w:r>
            <w:r>
              <w:rPr>
                <w:rFonts w:ascii="Calibri" w:hAnsi="Calibri" w:cs="Calibri"/>
                <w:sz w:val="22"/>
                <w:szCs w:val="22"/>
              </w:rPr>
              <w:t>保護力下降）</w:t>
            </w:r>
          </w:p>
        </w:tc>
      </w:tr>
      <w:tr w:rsidR="00000000">
        <w:trPr>
          <w:divId w:val="1623077288"/>
        </w:trPr>
        <w:tc>
          <w:tcPr>
            <w:tcW w:w="1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Dabigatran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Direct Thrombin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(Factor IIa) </w:t>
            </w:r>
            <w:r>
              <w:rPr>
                <w:rFonts w:ascii="Calibri" w:hAnsi="Calibri" w:cs="Calibri"/>
                <w:sz w:val="22"/>
                <w:szCs w:val="22"/>
              </w:rPr>
              <w:t>抑制劑</w:t>
            </w:r>
          </w:p>
        </w:tc>
        <w:tc>
          <w:tcPr>
            <w:tcW w:w="1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Pradaxa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VTE </w:t>
            </w:r>
            <w:r>
              <w:rPr>
                <w:rFonts w:ascii="Calibri" w:hAnsi="Calibri" w:cs="Calibri"/>
                <w:sz w:val="22"/>
                <w:szCs w:val="22"/>
              </w:rPr>
              <w:t>治療與預防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非瓣膜性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中風預防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術後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VTE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起始需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parenteral anticoagulation</w:t>
            </w:r>
            <w:r>
              <w:rPr>
                <w:rFonts w:ascii="Calibri" w:hAnsi="Calibri" w:cs="Calibri"/>
                <w:sz w:val="22"/>
                <w:szCs w:val="22"/>
              </w:rPr>
              <w:t>（</w:t>
            </w:r>
            <w:r>
              <w:rPr>
                <w:rFonts w:ascii="Calibri" w:hAnsi="Calibri" w:cs="Calibri"/>
                <w:sz w:val="22"/>
                <w:szCs w:val="22"/>
              </w:rPr>
              <w:t>5–10</w:t>
            </w:r>
            <w:r>
              <w:rPr>
                <w:rFonts w:ascii="Calibri" w:hAnsi="Calibri" w:cs="Calibri"/>
                <w:sz w:val="22"/>
                <w:szCs w:val="22"/>
              </w:rPr>
              <w:t>天）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維持：</w:t>
            </w:r>
            <w:r>
              <w:rPr>
                <w:rFonts w:ascii="Calibri" w:hAnsi="Calibri" w:cs="Calibri"/>
                <w:sz w:val="22"/>
                <w:szCs w:val="22"/>
              </w:rPr>
              <w:t>150 mg BID</w:t>
            </w:r>
          </w:p>
        </w:tc>
        <w:tc>
          <w:tcPr>
            <w:tcW w:w="12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出血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消化道不適（胃灼熱）</w:t>
            </w:r>
          </w:p>
        </w:tc>
        <w:tc>
          <w:tcPr>
            <w:tcW w:w="1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需保存在乾燥原瓶中（受濕氣影響）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腎功能差者慎用（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CrCl &lt; 30 </w:t>
            </w:r>
            <w:r>
              <w:rPr>
                <w:rFonts w:ascii="Calibri" w:hAnsi="Calibri" w:cs="Calibri"/>
                <w:sz w:val="22"/>
                <w:szCs w:val="22"/>
              </w:rPr>
              <w:t>避免）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有解毒劑（</w:t>
            </w:r>
            <w:r>
              <w:rPr>
                <w:rFonts w:ascii="Calibri" w:hAnsi="Calibri" w:cs="Calibri"/>
                <w:sz w:val="22"/>
                <w:szCs w:val="22"/>
              </w:rPr>
              <w:t>Idarucizumab</w:t>
            </w:r>
            <w:r>
              <w:rPr>
                <w:rFonts w:ascii="Calibri" w:hAnsi="Calibri" w:cs="Calibri"/>
                <w:sz w:val="22"/>
                <w:szCs w:val="22"/>
              </w:rPr>
              <w:t>）</w:t>
            </w:r>
          </w:p>
        </w:tc>
      </w:tr>
    </w:tbl>
    <w:p w:rsidR="004A1AAB" w:rsidRDefault="004A1AAB">
      <w:pPr>
        <w:pStyle w:val="3"/>
        <w:spacing w:before="0" w:beforeAutospacing="0" w:after="0" w:afterAutospacing="0"/>
        <w:ind w:left="12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DOACs </w:t>
      </w:r>
      <w:r>
        <w:rPr>
          <w:rFonts w:ascii="Calibri" w:hAnsi="Calibri" w:cs="Calibri"/>
          <w:color w:val="000000"/>
          <w:sz w:val="24"/>
          <w:szCs w:val="24"/>
        </w:rPr>
        <w:t>各藥物代謝途徑、腎肝功能限制整理表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2"/>
        <w:gridCol w:w="1541"/>
        <w:gridCol w:w="1511"/>
        <w:gridCol w:w="1163"/>
        <w:gridCol w:w="1569"/>
      </w:tblGrid>
      <w:tr w:rsidR="00000000">
        <w:trPr>
          <w:divId w:val="83152863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藥物名稱</w:t>
            </w:r>
          </w:p>
        </w:tc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主要代謝與排除途徑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腎功能不佳（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CrCl&lt;30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肝功能異常（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Child-Pugh B/C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臨床備註</w:t>
            </w:r>
          </w:p>
        </w:tc>
      </w:tr>
      <w:tr w:rsidR="00000000">
        <w:trPr>
          <w:divId w:val="83152863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Dabigatran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非酵素代謝，含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Hofmann elimination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80%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腎臟排除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慎用，若凝血功能異常應避免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有專一解毒劑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Idarucizumab</w:t>
            </w:r>
          </w:p>
        </w:tc>
      </w:tr>
      <w:tr w:rsidR="00000000">
        <w:trPr>
          <w:divId w:val="83152863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Rivaroxaban</w:t>
            </w:r>
          </w:p>
        </w:tc>
        <w:tc>
          <w:tcPr>
            <w:tcW w:w="22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肝臟代謝為主（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CYP3A4, CYP2J2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隨餐服用吸收最佳</w:t>
            </w:r>
          </w:p>
        </w:tc>
      </w:tr>
      <w:tr w:rsidR="00000000">
        <w:trPr>
          <w:divId w:val="83152863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Apixaban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肝臟代謝為主（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CYP3A4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可使用，但需劑量調整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出血風險相對較低</w:t>
            </w:r>
          </w:p>
        </w:tc>
      </w:tr>
      <w:tr w:rsidR="00000000">
        <w:trPr>
          <w:divId w:val="831528636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Edoxaban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腎排除，少量肝代謝</w:t>
            </w:r>
          </w:p>
        </w:tc>
        <w:tc>
          <w:tcPr>
            <w:tcW w:w="1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CrCl &lt;15 </w:t>
            </w:r>
            <w:r>
              <w:rPr>
                <w:rFonts w:ascii="Calibri" w:hAnsi="Calibri" w:cs="Calibri"/>
                <w:sz w:val="22"/>
                <w:szCs w:val="22"/>
              </w:rPr>
              <w:t>禁用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 xml:space="preserve">CrCl &gt;95 </w:t>
            </w:r>
            <w:r>
              <w:rPr>
                <w:rFonts w:ascii="Calibri" w:hAnsi="Calibri" w:cs="Calibri"/>
                <w:sz w:val="22"/>
                <w:szCs w:val="22"/>
              </w:rPr>
              <w:t>避免用於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AF </w:t>
            </w:r>
            <w:r>
              <w:rPr>
                <w:rFonts w:ascii="Calibri" w:hAnsi="Calibri" w:cs="Calibri"/>
                <w:sz w:val="22"/>
                <w:szCs w:val="22"/>
              </w:rPr>
              <w:t>預防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不建議使用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1AAB" w:rsidRDefault="004A1AA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使用前建議先打針抗凝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</w:p>
        </w:tc>
      </w:tr>
    </w:tbl>
    <w:p w:rsidR="004A1AAB" w:rsidRDefault="004A1AAB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1AAB" w:rsidRDefault="004A1AAB" w:rsidP="004A1AAB">
      <w:r>
        <w:separator/>
      </w:r>
    </w:p>
  </w:endnote>
  <w:endnote w:type="continuationSeparator" w:id="0">
    <w:p w:rsidR="004A1AAB" w:rsidRDefault="004A1AAB" w:rsidP="004A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1AAB" w:rsidRDefault="004A1AAB" w:rsidP="004A1AAB">
      <w:r>
        <w:separator/>
      </w:r>
    </w:p>
  </w:footnote>
  <w:footnote w:type="continuationSeparator" w:id="0">
    <w:p w:rsidR="004A1AAB" w:rsidRDefault="004A1AAB" w:rsidP="004A1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34E82"/>
    <w:multiLevelType w:val="multilevel"/>
    <w:tmpl w:val="B024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261315">
    <w:abstractNumId w:val="0"/>
  </w:num>
  <w:num w:numId="2" w16cid:durableId="8869106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85657835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18254630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837180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668872355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4788893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B"/>
    <w:rsid w:val="004A1AAB"/>
    <w:rsid w:val="00E0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731ED3-0866-471E-8054-EF02605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1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1AAB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4A1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1AA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52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dc.gov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