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010E" w:rsidRDefault="007D010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示範</w:t>
      </w:r>
      <w:r>
        <w:rPr>
          <w:rFonts w:ascii="Calibri" w:hAnsi="Calibri" w:cs="Calibri"/>
          <w:sz w:val="40"/>
          <w:szCs w:val="40"/>
        </w:rPr>
        <w:t>ITP</w:t>
      </w:r>
    </w:p>
    <w:p w:rsidR="007D010E" w:rsidRDefault="007D010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D010E" w:rsidRDefault="007D010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07:55</w:t>
      </w:r>
    </w:p>
    <w:p w:rsidR="007D010E" w:rsidRDefault="007D010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D010E" w:rsidRDefault="007D010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immune thrombocytopenic purpura(ITP)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7D010E" w:rsidRDefault="007D010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定義：找不出原因的</w:t>
      </w:r>
      <w:r>
        <w:rPr>
          <w:rFonts w:ascii="微軟正黑體" w:eastAsia="微軟正黑體" w:hAnsi="微軟正黑體" w:cs="Calibri" w:hint="eastAsia"/>
          <w:sz w:val="22"/>
          <w:szCs w:val="22"/>
        </w:rPr>
        <w:t>isolated thrombocytopenia(&lt; 100,000/mm3)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Newly diagnosed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：診斷後前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Persistent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3-12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Chronic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 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7D010E" w:rsidRDefault="007D010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流行病學：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兒童：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 5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Self-limiting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病毒感染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後消失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個月內消退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成人：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&gt;55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發展成</w:t>
      </w:r>
      <w:hyperlink r:id="rId7" w:anchor="🩺疾病|凝血相關疾病&amp;section-id={F4BD5699-E3A3-4D0A-995D-58AB93A64C6C}&amp;page-id={50AE51A6-0587-42F2-90A2-8CE646200224}&amp;object-id={DFC3F6F1-EE87-4630-9740-8AFD7903EA5D}&amp;25&amp;base-path=https://d.docs.live.net/56ce32fba64785ca/臨床筆記/HEMA%5eJ%20ONCO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Chronic ITP</w:t>
        </w:r>
      </w:hyperlink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25% </w:t>
      </w:r>
      <w:r>
        <w:rPr>
          <w:rFonts w:ascii="微軟正黑體" w:eastAsia="微軟正黑體" w:hAnsi="微軟正黑體" w:cs="Calibri" w:hint="eastAsia"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sz w:val="22"/>
          <w:szCs w:val="22"/>
        </w:rPr>
        <w:t>CBC</w:t>
      </w:r>
      <w:r>
        <w:rPr>
          <w:rFonts w:ascii="微軟正黑體" w:eastAsia="微軟正黑體" w:hAnsi="微軟正黑體" w:cs="Calibri" w:hint="eastAsia"/>
          <w:sz w:val="22"/>
          <w:szCs w:val="22"/>
        </w:rPr>
        <w:t>檢查偶然發現</w:t>
      </w:r>
    </w:p>
    <w:p w:rsidR="007D010E" w:rsidRDefault="007D010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病生理：身體中產生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血小板抗體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(Anti-PLT Ab)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通常是</w:t>
      </w:r>
      <w:r>
        <w:rPr>
          <w:rFonts w:ascii="微軟正黑體" w:eastAsia="微軟正黑體" w:hAnsi="微軟正黑體" w:cs="Calibri" w:hint="eastAsia"/>
          <w:sz w:val="22"/>
          <w:szCs w:val="22"/>
        </w:rPr>
        <w:t>IgG</w:t>
      </w:r>
      <w:r>
        <w:rPr>
          <w:rFonts w:ascii="微軟正黑體" w:eastAsia="微軟正黑體" w:hAnsi="微軟正黑體" w:cs="Calibri" w:hint="eastAsia"/>
          <w:sz w:val="22"/>
          <w:szCs w:val="22"/>
        </w:rPr>
        <w:t>直接接上</w:t>
      </w:r>
      <w:r>
        <w:rPr>
          <w:rFonts w:ascii="微軟正黑體" w:eastAsia="微軟正黑體" w:hAnsi="微軟正黑體" w:cs="Calibri" w:hint="eastAsia"/>
          <w:sz w:val="22"/>
          <w:szCs w:val="22"/>
        </w:rPr>
        <w:t>Plt</w:t>
      </w:r>
      <w:r>
        <w:rPr>
          <w:rFonts w:ascii="微軟正黑體" w:eastAsia="微軟正黑體" w:hAnsi="微軟正黑體" w:cs="Calibri" w:hint="eastAsia"/>
          <w:sz w:val="22"/>
          <w:szCs w:val="22"/>
        </w:rPr>
        <w:t>表面蛋白攻擊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→送到肝脾處理→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骨髓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megakaryocyte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Plt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製造增加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絕大多數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[</w:t>
      </w:r>
      <w:hyperlink r:id="rId8" w:anchor="過敏反應&amp;section-id={EB04CCEF-7970-4EE5-96FE-D4EF960010B4}&amp;page-id={B444B81C-7EE9-4EAD-9D6E-6224BFFE2E9E}&amp;object-id={4D15FA70-8C1E-4AC6-AB70-EB0D0ACC2547}&amp;67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Type 2</w:t>
        </w:r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過敏</w:t>
        </w:r>
      </w:hyperlink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]</w:t>
      </w:r>
    </w:p>
    <w:p w:rsidR="007D010E" w:rsidRDefault="007D010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病因：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idiopathic(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Secondary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Autoimmune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SLE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Anti-phospholipid syndrome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感染：</w:t>
      </w:r>
      <w:r>
        <w:rPr>
          <w:rFonts w:ascii="微軟正黑體" w:eastAsia="微軟正黑體" w:hAnsi="微軟正黑體" w:cs="Calibri" w:hint="eastAsia"/>
          <w:sz w:val="22"/>
          <w:szCs w:val="22"/>
        </w:rPr>
        <w:t>HIV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HCV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EBV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VZV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惡性腫瘤：</w:t>
      </w:r>
      <w:r>
        <w:rPr>
          <w:rFonts w:ascii="微軟正黑體" w:eastAsia="微軟正黑體" w:hAnsi="微軟正黑體" w:cs="Calibri" w:hint="eastAsia"/>
          <w:sz w:val="22"/>
          <w:szCs w:val="22"/>
        </w:rPr>
        <w:t>Lymphoma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Leukemia(</w:t>
      </w:r>
      <w:r>
        <w:rPr>
          <w:rFonts w:ascii="微軟正黑體" w:eastAsia="微軟正黑體" w:hAnsi="微軟正黑體" w:cs="Calibri" w:hint="eastAsia"/>
          <w:sz w:val="22"/>
          <w:szCs w:val="22"/>
        </w:rPr>
        <w:t>特別是</w:t>
      </w:r>
      <w:r>
        <w:rPr>
          <w:rFonts w:ascii="微軟正黑體" w:eastAsia="微軟正黑體" w:hAnsi="微軟正黑體" w:cs="Calibri" w:hint="eastAsia"/>
          <w:sz w:val="22"/>
          <w:szCs w:val="22"/>
        </w:rPr>
        <w:t>CLL)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quinine, beta-lactam antibiotics, carbamazepine, heparin, vaccines, linezolid, sulfonamides, vancomycin, TMP-SMX, antiepileptics </w:t>
      </w:r>
    </w:p>
    <w:p w:rsidR="007D010E" w:rsidRDefault="007D010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好發病毒感染後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1-4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週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最常見：無症狀、無脾臟腫大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輕微表皮、黏膜出血</w:t>
      </w:r>
    </w:p>
    <w:p w:rsidR="007D010E" w:rsidRDefault="007D010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診斷：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排除性診斷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先排除其他次發性原因，</w:t>
      </w:r>
      <w:r>
        <w:rPr>
          <w:rFonts w:ascii="微軟正黑體" w:eastAsia="微軟正黑體" w:hAnsi="微軟正黑體" w:cs="Calibri" w:hint="eastAsia"/>
          <w:sz w:val="22"/>
          <w:szCs w:val="22"/>
        </w:rPr>
        <w:t>Anti-plt Ab</w:t>
      </w:r>
      <w:r>
        <w:rPr>
          <w:rFonts w:ascii="微軟正黑體" w:eastAsia="微軟正黑體" w:hAnsi="微軟正黑體" w:cs="Calibri" w:hint="eastAsia"/>
          <w:sz w:val="22"/>
          <w:szCs w:val="22"/>
        </w:rPr>
        <w:t>低敏感度、低專一性</w:t>
      </w:r>
    </w:p>
    <w:p w:rsidR="007D010E" w:rsidRDefault="007D010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治療：血小板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&lt;50000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出血嚴重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&lt;30000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才需治療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第一線藥物：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類固醇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治療到</w:t>
      </w:r>
      <w:r>
        <w:rPr>
          <w:rFonts w:ascii="微軟正黑體" w:eastAsia="微軟正黑體" w:hAnsi="微軟正黑體" w:cs="Calibri" w:hint="eastAsia"/>
          <w:sz w:val="22"/>
          <w:szCs w:val="22"/>
        </w:rPr>
        <w:t>Plt &gt; 50000)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嚴重出血病人考慮合併</w:t>
      </w:r>
      <w:r>
        <w:rPr>
          <w:rFonts w:ascii="微軟正黑體" w:eastAsia="微軟正黑體" w:hAnsi="微軟正黑體" w:cs="Calibri" w:hint="eastAsia"/>
          <w:sz w:val="22"/>
          <w:szCs w:val="22"/>
        </w:rPr>
        <w:t>IVIG</w:t>
      </w:r>
    </w:p>
    <w:p w:rsidR="007D010E" w:rsidRDefault="007D010E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明顯急性出血可輸血小板，若出血仍不止可考慮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Recombinant factor VIIa</w:t>
      </w:r>
    </w:p>
    <w:p w:rsidR="007D010E" w:rsidRDefault="007D01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TPO receptor agonist(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Romiplostim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Eltrombopag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Splenectomy(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治療無效超過</w:t>
      </w:r>
      <w:r>
        <w:rPr>
          <w:rFonts w:ascii="微軟正黑體" w:eastAsia="微軟正黑體" w:hAnsi="微軟正黑體" w:cs="Calibri" w:hint="eastAsia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年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Danazol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Azathioprine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Cyclophosphomide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MMF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Cyclosporin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010E" w:rsidRDefault="007D010E" w:rsidP="007D010E">
      <w:r>
        <w:separator/>
      </w:r>
    </w:p>
  </w:endnote>
  <w:endnote w:type="continuationSeparator" w:id="0">
    <w:p w:rsidR="007D010E" w:rsidRDefault="007D010E" w:rsidP="007D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010E" w:rsidRDefault="007D010E" w:rsidP="007D010E">
      <w:r>
        <w:separator/>
      </w:r>
    </w:p>
  </w:footnote>
  <w:footnote w:type="continuationSeparator" w:id="0">
    <w:p w:rsidR="007D010E" w:rsidRDefault="007D010E" w:rsidP="007D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F82"/>
    <w:multiLevelType w:val="multilevel"/>
    <w:tmpl w:val="3F40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46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0E"/>
    <w:rsid w:val="00490E41"/>
    <w:rsid w:val="007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F0C0D9-3500-4541-8118-C4911FDD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7D01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010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7D01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010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&#22522;&#30990;&#29983;&#29702;.one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