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D7A" w:rsidRDefault="00021D7A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APACHE</w:t>
      </w:r>
    </w:p>
    <w:p w:rsidR="00021D7A" w:rsidRDefault="00021D7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021D7A" w:rsidRDefault="00021D7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021D7A" w:rsidRDefault="00021D7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21D7A" w:rsidRDefault="00021D7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21D7A" w:rsidRDefault="00021D7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21D7A" w:rsidRDefault="00021D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21D7A" w:rsidRDefault="00021D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21D7A" w:rsidRDefault="00021D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21D7A" w:rsidRDefault="00021D7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21D7A" w:rsidRDefault="00021D7A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021D7A" w:rsidRDefault="00021D7A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APACHE scoce</w:t>
      </w:r>
      <w:r>
        <w:rPr>
          <w:rFonts w:ascii="微軟正黑體" w:eastAsia="微軟正黑體" w:hAnsi="微軟正黑體" w:cs="Calibri" w:hint="eastAsia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sz w:val="32"/>
          <w:szCs w:val="32"/>
        </w:rPr>
        <w:t>Acute Physiology and Chronic Health Evaluation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021D7A" w:rsidRDefault="00021D7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APACHE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是一套評估重症病人預後風險與死亡率的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ICU </w:t>
      </w:r>
      <w:r>
        <w:rPr>
          <w:rFonts w:ascii="微軟正黑體" w:eastAsia="微軟正黑體" w:hAnsi="微軟正黑體" w:cs="Calibri" w:hint="eastAsia"/>
          <w:sz w:val="28"/>
          <w:szCs w:val="28"/>
        </w:rPr>
        <w:t>評分系統。整合生理數據、年齡與慢性疾病狀況，來估算病患的病情嚴重程度與住院死亡率。</w:t>
      </w:r>
    </w:p>
    <w:p w:rsidR="00021D7A" w:rsidRDefault="00021D7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021D7A" w:rsidRDefault="00021D7A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ICU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入住後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</w:t>
      </w:r>
    </w:p>
    <w:p w:rsidR="00021D7A" w:rsidRDefault="00021D7A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小時內最差的生理參數值</w:t>
      </w:r>
    </w:p>
    <w:p w:rsidR="00021D7A" w:rsidRDefault="00021D7A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不建議重複評估（與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)</w:t>
      </w:r>
    </w:p>
    <w:p w:rsidR="00021D7A" w:rsidRDefault="00021D7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評分項目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共三大項，採用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APACHE II)</w:t>
      </w:r>
    </w:p>
    <w:p w:rsidR="00021D7A" w:rsidRDefault="00021D7A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急性生理變項（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Physiology Score, APS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4"/>
        <w:gridCol w:w="738"/>
        <w:gridCol w:w="713"/>
        <w:gridCol w:w="666"/>
        <w:gridCol w:w="713"/>
        <w:gridCol w:w="823"/>
        <w:gridCol w:w="823"/>
        <w:gridCol w:w="713"/>
        <w:gridCol w:w="823"/>
        <w:gridCol w:w="823"/>
      </w:tblGrid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Rectal temperature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31.9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29.9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Mean blood pressure (mmHg)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160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49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Heart rate (beats/min)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39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 rate (breaths/min)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Arterial pH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7.24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&lt;7.15</w:t>
            </w:r>
          </w:p>
        </w:tc>
      </w:tr>
      <w:tr w:rsidR="00000000">
        <w:trPr>
          <w:divId w:val="2144426960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0.5, use 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0.5, use PaO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500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499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349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61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&gt;70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&lt;200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&lt;55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2144426960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sodium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119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110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potassium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&lt;2.5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creatinine (mg/dL)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3.5*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&lt;0.6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Hematocrit (%)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29.9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WBC count (10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&lt;1.0</w:t>
            </w:r>
          </w:p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44426960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Glasgow Coma Scale (GCS)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= 15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GCS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得分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（例如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GCS 10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APS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p w:rsidR="00021D7A" w:rsidRDefault="00021D7A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年齡加分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805"/>
      </w:tblGrid>
      <w:tr w:rsidR="00000000">
        <w:trPr>
          <w:divId w:val="2087876890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年齡範圍</w:t>
            </w:r>
          </w:p>
        </w:tc>
        <w:tc>
          <w:tcPr>
            <w:tcW w:w="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加分</w:t>
            </w:r>
          </w:p>
        </w:tc>
      </w:tr>
      <w:tr w:rsidR="00000000">
        <w:trPr>
          <w:divId w:val="208787689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</w:tr>
      <w:tr w:rsidR="00000000">
        <w:trPr>
          <w:divId w:val="208787689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208787689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208787689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208787689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75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</w:tr>
    </w:tbl>
    <w:p w:rsidR="00021D7A" w:rsidRDefault="00021D7A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慢性健康狀況（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Chronic Health Score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21D7A" w:rsidRDefault="00021D7A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須在入院前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個月已存在，且符合以下嚴重度標準：</w:t>
      </w:r>
    </w:p>
    <w:p w:rsidR="00021D7A" w:rsidRDefault="00021D7A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嚴重肝病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肝硬化併發門脈高壓或肝性腦病</w:t>
      </w:r>
    </w:p>
    <w:p w:rsidR="00021D7A" w:rsidRDefault="00021D7A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嚴重心血管疾病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第四級心絞痛（休息時或最小自我照護活動時即發作）</w:t>
      </w:r>
    </w:p>
    <w:p w:rsidR="00021D7A" w:rsidRDefault="00021D7A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嚴重慢性呼吸衰竭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慢性低氧血症或高碳酸血症、呼吸器依賴</w:t>
      </w:r>
    </w:p>
    <w:p w:rsidR="00021D7A" w:rsidRDefault="00021D7A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嚴重腎病變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慢性腹膜透析或血液透析</w:t>
      </w:r>
    </w:p>
    <w:p w:rsidR="00021D7A" w:rsidRDefault="00021D7A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免疫功能抑制（</w:t>
      </w:r>
      <w:r>
        <w:rPr>
          <w:rFonts w:ascii="微軟正黑體" w:eastAsia="微軟正黑體" w:hAnsi="微軟正黑體" w:cs="Calibri" w:hint="eastAsia"/>
          <w:sz w:val="22"/>
          <w:szCs w:val="22"/>
        </w:rPr>
        <w:t>Immunocompromised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21D7A" w:rsidRDefault="00021D7A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57"/>
        <w:gridCol w:w="1162"/>
        <w:gridCol w:w="847"/>
      </w:tblGrid>
      <w:tr w:rsidR="00000000">
        <w:trPr>
          <w:divId w:val="41995771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慢性健康狀況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是否加分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加幾分</w:t>
            </w:r>
          </w:p>
        </w:tc>
      </w:tr>
      <w:tr w:rsidR="00000000">
        <w:trPr>
          <w:divId w:val="419957719"/>
        </w:trPr>
        <w:tc>
          <w:tcPr>
            <w:tcW w:w="5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有以上任一慢性疾病，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且此次為非選擇性住院或急診手術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+5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41995771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但為選擇性手術住院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+2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419957719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無符合條件的慢性疾病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否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+0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</w:tbl>
    <w:p w:rsidR="00021D7A" w:rsidRDefault="00021D7A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21D7A" w:rsidRDefault="00021D7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死亡率預測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4"/>
        <w:gridCol w:w="2094"/>
        <w:gridCol w:w="3838"/>
      </w:tblGrid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APACHE II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死亡率（大約值）</w:t>
            </w:r>
          </w:p>
        </w:tc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臨床意義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非常輕症，死亡風險極低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輕度器官功能異常，有可逆性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中度重症，需持續監測與干預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有器官衰竭風險，預後需看反應與處置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高風險族群，常合併多重器官功能障礙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55%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極高風險，預後差，應考慮目標治療與倫理議題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75%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非常重症，多數合併敗血症、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、腎衰竭等</w:t>
            </w:r>
          </w:p>
        </w:tc>
      </w:tr>
      <w:tr w:rsidR="00000000">
        <w:trPr>
          <w:divId w:val="1540513497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35</w:t>
            </w:r>
          </w:p>
        </w:tc>
        <w:tc>
          <w:tcPr>
            <w:tcW w:w="2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</w:p>
        </w:tc>
        <w:tc>
          <w:tcPr>
            <w:tcW w:w="4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1D7A" w:rsidRDefault="00021D7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接近極限生理狀態，死亡機率極高</w:t>
            </w:r>
          </w:p>
        </w:tc>
      </w:tr>
    </w:tbl>
    <w:p w:rsidR="00021D7A" w:rsidRDefault="00021D7A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21D7A" w:rsidRDefault="00021D7A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021D7A" w:rsidRDefault="00021D7A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021D7A" w:rsidRDefault="00021D7A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21D7A" w:rsidRDefault="00021D7A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1D7A" w:rsidRDefault="00021D7A" w:rsidP="00021D7A">
      <w:r>
        <w:separator/>
      </w:r>
    </w:p>
  </w:endnote>
  <w:endnote w:type="continuationSeparator" w:id="0">
    <w:p w:rsidR="00021D7A" w:rsidRDefault="00021D7A" w:rsidP="0002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1D7A" w:rsidRDefault="00021D7A" w:rsidP="00021D7A">
      <w:r>
        <w:separator/>
      </w:r>
    </w:p>
  </w:footnote>
  <w:footnote w:type="continuationSeparator" w:id="0">
    <w:p w:rsidR="00021D7A" w:rsidRDefault="00021D7A" w:rsidP="0002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F29C4"/>
    <w:multiLevelType w:val="multilevel"/>
    <w:tmpl w:val="906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277117">
    <w:abstractNumId w:val="0"/>
  </w:num>
  <w:num w:numId="2" w16cid:durableId="677721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38760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600476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3213968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7A"/>
    <w:rsid w:val="00021D7A"/>
    <w:rsid w:val="0058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235539-BBE8-4B88-966B-AD89ED69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21D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1D7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21D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1D7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95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