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368A" w:rsidRDefault="00B7368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SOFA</w:t>
      </w:r>
    </w:p>
    <w:p w:rsidR="00B7368A" w:rsidRDefault="00B7368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B7368A" w:rsidRDefault="00B7368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B7368A" w:rsidRDefault="00B7368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368A" w:rsidRDefault="00B7368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7368A" w:rsidRDefault="00B7368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7368A" w:rsidRDefault="00B7368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7368A" w:rsidRDefault="00B7368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7368A" w:rsidRDefault="00B7368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7368A" w:rsidRDefault="00B7368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7368A" w:rsidRDefault="00B7368A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SOFA score</w:t>
      </w:r>
    </w:p>
    <w:p w:rsidR="00B7368A" w:rsidRDefault="00B7368A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 (Sequential Organ Failure Assessment) score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是評估重症病人器官功能障礙程度的評分系統，用於預測敗血症病人的預後和死亡率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1"/>
        <w:gridCol w:w="762"/>
        <w:gridCol w:w="734"/>
        <w:gridCol w:w="1547"/>
        <w:gridCol w:w="1360"/>
        <w:gridCol w:w="1322"/>
      </w:tblGrid>
      <w:tr w:rsidR="00000000">
        <w:trPr>
          <w:divId w:val="891887112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Organ system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 pts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 pt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 pts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 pts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 pts</w:t>
            </w:r>
          </w:p>
        </w:tc>
      </w:tr>
      <w:tr w:rsidR="00000000">
        <w:trPr>
          <w:divId w:val="891887112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Respiratory</w:t>
            </w:r>
          </w:p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/FiO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(mm Hg)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400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400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300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200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ventilated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100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ventilated </w:t>
            </w:r>
          </w:p>
        </w:tc>
      </w:tr>
      <w:tr w:rsidR="00000000">
        <w:trPr>
          <w:divId w:val="891887112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Coagulation</w:t>
            </w:r>
          </w:p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Platelets(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⁹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/L)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150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150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100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50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20 </w:t>
            </w:r>
          </w:p>
        </w:tc>
      </w:tr>
      <w:tr w:rsidR="00000000">
        <w:trPr>
          <w:divId w:val="891887112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Liver</w:t>
            </w:r>
          </w:p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Total bilirubin (mg/dL [µmol/L])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1.2 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1.9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5.9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11.9 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12 </w:t>
            </w:r>
          </w:p>
        </w:tc>
      </w:tr>
      <w:tr w:rsidR="00000000">
        <w:trPr>
          <w:divId w:val="891887112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Cardiovascular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MAP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70 mm Hg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MAP &lt; 70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 µg/kg/min or Dobutamine any dose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&gt; 5 or NE/Epi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0.1 µg/kg/min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Dopamine &gt; 15 or NE/Epi &gt; 0.1 µg/kg/min </w:t>
            </w:r>
          </w:p>
        </w:tc>
      </w:tr>
      <w:tr w:rsidR="00000000">
        <w:trPr>
          <w:divId w:val="891887112"/>
        </w:trPr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CNS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Glasgow Coma Scale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</w:p>
        </w:tc>
        <w:tc>
          <w:tcPr>
            <w:tcW w:w="1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5 </w:t>
            </w:r>
          </w:p>
        </w:tc>
      </w:tr>
      <w:tr w:rsidR="00000000">
        <w:trPr>
          <w:divId w:val="891887112"/>
        </w:trPr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Creatinine (mg/dL [µmol/L])-or- Urine output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1.2 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1.9 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3.4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4.9  or  UO &lt; 500 mL/d</w:t>
            </w:r>
          </w:p>
        </w:tc>
        <w:tc>
          <w:tcPr>
            <w:tcW w:w="1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5.0  or  UO &lt; 200 mL/d </w:t>
            </w:r>
          </w:p>
        </w:tc>
      </w:tr>
    </w:tbl>
    <w:p w:rsidR="00B7368A" w:rsidRDefault="00B7368A">
      <w:pPr>
        <w:numPr>
          <w:ilvl w:val="1"/>
          <w:numId w:val="1"/>
        </w:numPr>
        <w:textAlignment w:val="center"/>
        <w:divId w:val="1553926779"/>
        <w:rPr>
          <w:rFonts w:ascii="Calibri" w:hAnsi="Calibri" w:cs="Calibri" w:hint="eastAsia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8"/>
        <w:gridCol w:w="1568"/>
      </w:tblGrid>
      <w:tr w:rsidR="00000000">
        <w:trPr>
          <w:divId w:val="1553926779"/>
        </w:trPr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Total score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Mortality (%)</w:t>
            </w:r>
          </w:p>
        </w:tc>
      </w:tr>
      <w:tr w:rsidR="00000000">
        <w:trPr>
          <w:divId w:val="155392677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10 %</w:t>
            </w:r>
          </w:p>
        </w:tc>
      </w:tr>
      <w:tr w:rsidR="00000000">
        <w:trPr>
          <w:divId w:val="155392677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20 %</w:t>
            </w:r>
          </w:p>
        </w:tc>
      </w:tr>
      <w:tr w:rsidR="00000000">
        <w:trPr>
          <w:divId w:val="155392677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~40 %</w:t>
            </w:r>
          </w:p>
        </w:tc>
      </w:tr>
      <w:tr w:rsidR="00000000">
        <w:trPr>
          <w:divId w:val="155392677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60 %</w:t>
            </w:r>
          </w:p>
        </w:tc>
      </w:tr>
      <w:tr w:rsidR="00000000">
        <w:trPr>
          <w:divId w:val="1553926779"/>
        </w:trPr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15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80 % </w:t>
            </w:r>
          </w:p>
        </w:tc>
      </w:tr>
    </w:tbl>
    <w:p w:rsidR="00B7368A" w:rsidRDefault="00B7368A">
      <w:pPr>
        <w:pStyle w:val="Web"/>
        <w:spacing w:before="120" w:beforeAutospacing="0" w:after="120" w:afterAutospacing="0" w:line="240" w:lineRule="atLeast"/>
        <w:ind w:left="720"/>
        <w:rPr>
          <w:rFonts w:ascii="微軟正黑體" w:eastAsia="微軟正黑體" w:hAnsi="微軟正黑體" w:cs="Calibri" w:hint="eastAsia"/>
          <w:color w:val="262626"/>
          <w:sz w:val="18"/>
          <w:szCs w:val="18"/>
        </w:rPr>
      </w:pPr>
      <w:r>
        <w:rPr>
          <w:rFonts w:ascii="微軟正黑體" w:eastAsia="微軟正黑體" w:hAnsi="微軟正黑體" w:cs="Calibri" w:hint="eastAsia"/>
          <w:color w:val="262626"/>
          <w:sz w:val="18"/>
          <w:szCs w:val="18"/>
        </w:rPr>
        <w:t> </w:t>
      </w:r>
    </w:p>
    <w:p w:rsidR="00B7368A" w:rsidRDefault="00B7368A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討論</w:t>
      </w:r>
    </w:p>
    <w:p w:rsidR="00B7368A" w:rsidRDefault="00B7368A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由六個器官系統的評分組成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，每個系統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0-4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分，總分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分，懷疑感染且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分數從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baseline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增加</w:t>
      </w:r>
      <w:r>
        <w:rPr>
          <w:rFonts w:ascii="Cambria Math" w:hAnsi="Cambria Math" w:cs="Calibri"/>
          <w:color w:val="262626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分時，可診斷為敗血症</w:t>
      </w:r>
    </w:p>
    <w:p w:rsidR="00B7368A" w:rsidRDefault="00B7368A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建議每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小時評估一次，危重患者可能需要更頻繁評估</w:t>
      </w:r>
    </w:p>
    <w:p w:rsidR="00B7368A" w:rsidRDefault="00B7368A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動態變化比單次評分更有意義</w:t>
      </w:r>
    </w:p>
    <w:p w:rsidR="00B7368A" w:rsidRDefault="00B7368A">
      <w:pPr>
        <w:pStyle w:val="Web"/>
        <w:spacing w:before="0" w:beforeAutospacing="0" w:after="0" w:afterAutospacing="0" w:line="300" w:lineRule="atLeast"/>
        <w:ind w:left="72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B7368A" w:rsidRDefault="00B7368A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qSOFA score</w:t>
      </w:r>
    </w:p>
    <w:p w:rsidR="00B7368A" w:rsidRDefault="00B7368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qSOFA (quick Sequential Organ Failure Assessment)</w:t>
      </w:r>
    </w:p>
    <w:p w:rsidR="00B7368A" w:rsidRDefault="00B7368A">
      <w:pPr>
        <w:numPr>
          <w:ilvl w:val="3"/>
          <w:numId w:val="1"/>
        </w:numPr>
        <w:textAlignment w:val="center"/>
        <w:divId w:val="10111138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82"/>
        <w:gridCol w:w="965"/>
      </w:tblGrid>
      <w:tr w:rsidR="00000000">
        <w:trPr>
          <w:divId w:val="10111138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qSOFA Criteria</w:t>
            </w:r>
          </w:p>
        </w:tc>
        <w:tc>
          <w:tcPr>
            <w:tcW w:w="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Score</w:t>
            </w:r>
          </w:p>
        </w:tc>
      </w:tr>
      <w:tr w:rsidR="00000000">
        <w:trPr>
          <w:divId w:val="10111138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Respiratory rate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22/min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  <w:tr w:rsidR="00000000">
        <w:trPr>
          <w:divId w:val="10111138"/>
        </w:trPr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Altered mentation (GCS &lt; 15)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  <w:tr w:rsidR="00000000">
        <w:trPr>
          <w:divId w:val="10111138"/>
        </w:trPr>
        <w:tc>
          <w:tcPr>
            <w:tcW w:w="4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Systolic blood pressure 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 mm Hg</w:t>
            </w:r>
          </w:p>
        </w:tc>
        <w:tc>
          <w:tcPr>
            <w:tcW w:w="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68A" w:rsidRDefault="00B7368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 point</w:t>
            </w:r>
          </w:p>
        </w:tc>
      </w:tr>
    </w:tbl>
    <w:p w:rsidR="00B7368A" w:rsidRDefault="00B7368A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討論</w:t>
      </w:r>
    </w:p>
    <w:p w:rsidR="00B7368A" w:rsidRDefault="00B7368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總分</w:t>
      </w:r>
      <w:r>
        <w:rPr>
          <w:rFonts w:ascii="微軟正黑體" w:eastAsia="微軟正黑體" w:hAnsi="微軟正黑體" w:cs="Calibri" w:hint="eastAsia"/>
          <w:sz w:val="28"/>
          <w:szCs w:val="28"/>
        </w:rPr>
        <w:t>0-3</w:t>
      </w:r>
      <w:r>
        <w:rPr>
          <w:rFonts w:ascii="微軟正黑體" w:eastAsia="微軟正黑體" w:hAnsi="微軟正黑體" w:cs="Calibri" w:hint="eastAsia"/>
          <w:sz w:val="28"/>
          <w:szCs w:val="28"/>
        </w:rPr>
        <w:t>分，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qSOFA </w:t>
      </w:r>
      <w:r>
        <w:rPr>
          <w:rFonts w:ascii="Cambria Math" w:hAnsi="Cambria Math" w:cs="Calibri"/>
          <w:color w:val="2E75B5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sz w:val="28"/>
          <w:szCs w:val="28"/>
        </w:rPr>
        <w:t>分表示高風險，需要考慮敗血症的可能，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需進一步評估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SOFA socre</w:t>
      </w:r>
    </w:p>
    <w:p w:rsidR="00B7368A" w:rsidRDefault="00B7368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使用時機：</w:t>
      </w:r>
    </w:p>
    <w:p w:rsidR="00B7368A" w:rsidRDefault="00B7368A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急診部門、一般病房初步評估</w:t>
      </w:r>
    </w:p>
    <w:p w:rsidR="00B7368A" w:rsidRDefault="00B7368A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任何懷疑感染的患者</w:t>
      </w:r>
    </w:p>
    <w:p w:rsidR="00B7368A" w:rsidRDefault="00B7368A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368A" w:rsidRDefault="00B7368A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B7368A" w:rsidRDefault="00B7368A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B7368A" w:rsidRDefault="00B7368A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368A" w:rsidRDefault="00B7368A" w:rsidP="00B7368A">
      <w:r>
        <w:separator/>
      </w:r>
    </w:p>
  </w:endnote>
  <w:endnote w:type="continuationSeparator" w:id="0">
    <w:p w:rsidR="00B7368A" w:rsidRDefault="00B7368A" w:rsidP="00B7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368A" w:rsidRDefault="00B7368A" w:rsidP="00B7368A">
      <w:r>
        <w:separator/>
      </w:r>
    </w:p>
  </w:footnote>
  <w:footnote w:type="continuationSeparator" w:id="0">
    <w:p w:rsidR="00B7368A" w:rsidRDefault="00B7368A" w:rsidP="00B7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F2F83"/>
    <w:multiLevelType w:val="multilevel"/>
    <w:tmpl w:val="799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7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8A"/>
    <w:rsid w:val="00584C5D"/>
    <w:rsid w:val="00B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E986C2-7A62-4975-B1F2-794458B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73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368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73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368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