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288A" w:rsidRDefault="0092288A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高血脂</w:t>
      </w:r>
    </w:p>
    <w:p w:rsidR="0092288A" w:rsidRDefault="0092288A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February 26, 2025</w:t>
      </w:r>
    </w:p>
    <w:p w:rsidR="0092288A" w:rsidRDefault="0092288A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5:58 PM</w:t>
      </w:r>
    </w:p>
    <w:p w:rsidR="0092288A" w:rsidRDefault="0092288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288A" w:rsidRDefault="0092288A">
      <w:pPr>
        <w:numPr>
          <w:ilvl w:val="0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92288A" w:rsidRDefault="0092288A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血脂異常：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Total cholesterol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LDL-C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triglyceride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升高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，或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HDL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降低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92288A" w:rsidRDefault="0092288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LDL-C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是主要的致動脈粥狀硬化膽固醇，與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ASCVD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（動脈粥狀硬化性心血管疾病，如冠狀動脈疾病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CAD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、腦中風）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相關。</w:t>
      </w:r>
    </w:p>
    <w:p w:rsidR="0092288A" w:rsidRDefault="0092288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92288A" w:rsidRDefault="0092288A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92288A" w:rsidRDefault="0092288A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根據中華民國血脂及動脈硬化學會</w:t>
      </w:r>
      <w:r>
        <w:rPr>
          <w:rFonts w:ascii="微軟正黑體" w:eastAsia="微軟正黑體" w:hAnsi="微軟正黑體" w:cs="Calibri" w:hint="eastAsia"/>
          <w:sz w:val="28"/>
          <w:szCs w:val="28"/>
        </w:rPr>
        <w:t>2022</w:t>
      </w:r>
      <w:r>
        <w:rPr>
          <w:rFonts w:ascii="微軟正黑體" w:eastAsia="微軟正黑體" w:hAnsi="微軟正黑體" w:cs="Calibri" w:hint="eastAsia"/>
          <w:sz w:val="28"/>
          <w:szCs w:val="28"/>
        </w:rPr>
        <w:t>年指引：</w:t>
      </w:r>
    </w:p>
    <w:p w:rsidR="0092288A" w:rsidRDefault="0092288A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高血脂症在台灣的流行病學資料顯示，隨著生活方式的改變以及人口老化，心血管疾病的風險逐年上升。在成人中，約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以上的人群存在某種形式的高血脂（例如：高總膽固醇、高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LDL-C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HDL-C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或高三酸甘油酯），並且這一比例隨著年齡的增長而上升。</w:t>
      </w:r>
    </w:p>
    <w:p w:rsidR="0092288A" w:rsidRDefault="0092288A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男性通常在較年輕的年齡段出現高血脂問題，而女性則多見於更年期後，這是由於女性在更年期後，隨著雌激素水平下降，對心血管的保護作用減弱，導致膽固醇水平的升高。</w:t>
      </w:r>
    </w:p>
    <w:p w:rsidR="0092288A" w:rsidRDefault="0092288A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高血脂與多種心血管疾病密切相關，包括冠狀動脈疾病（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Coronary Artery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）、外周動脈疾病（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Peripheral Artery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）、缺血性中風（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Ischemic Stroke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）等。</w:t>
      </w:r>
    </w:p>
    <w:p w:rsidR="0092288A" w:rsidRDefault="0092288A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研究顯示，患有高血脂的個體，其心血管事件的風險大大增加，且對高風險群體（如糖尿病、吸煙者、高血壓者）的影響尤為顯著。</w:t>
      </w:r>
    </w:p>
    <w:p w:rsidR="0092288A" w:rsidRDefault="0092288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92288A" w:rsidRDefault="0092288A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Lipoprotein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類別與功能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68"/>
        <w:gridCol w:w="1642"/>
        <w:gridCol w:w="1908"/>
        <w:gridCol w:w="1788"/>
      </w:tblGrid>
      <w:tr w:rsidR="00000000">
        <w:trPr>
          <w:divId w:val="1204709178"/>
        </w:trPr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Lipoprotein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主要成分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關鍵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Apoprotein</w:t>
            </w:r>
          </w:p>
        </w:tc>
      </w:tr>
      <w:tr w:rsidR="00000000">
        <w:trPr>
          <w:divId w:val="1204709178"/>
        </w:trPr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lastRenderedPageBreak/>
              <w:t>Chylomicrons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90%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攜帶飲食脂肪（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）從腸道到肝臟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ApoB-48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ApoC-II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ApoE</w:t>
            </w:r>
          </w:p>
        </w:tc>
      </w:tr>
      <w:tr w:rsidR="00000000">
        <w:trPr>
          <w:divId w:val="1204709178"/>
        </w:trPr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VLDL (Very-Low-Density Lipoprotein)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55%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肝臟合成，運輸內源性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到周邊組織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ApoB-100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ApoC-II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ApoE</w:t>
            </w:r>
          </w:p>
        </w:tc>
      </w:tr>
      <w:tr w:rsidR="00000000">
        <w:trPr>
          <w:divId w:val="1204709178"/>
        </w:trPr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IDL (Intermediate-Density Lipoprotein)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VLDL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代謝中間產物，可轉換為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ApoB-100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ApoE</w:t>
            </w:r>
          </w:p>
        </w:tc>
      </w:tr>
      <w:tr w:rsidR="00000000">
        <w:trPr>
          <w:divId w:val="1204709178"/>
        </w:trPr>
        <w:tc>
          <w:tcPr>
            <w:tcW w:w="3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 (Low-Density Lipoprotein)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Cholesterol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運輸膽固醇至周邊組織</w:t>
            </w:r>
          </w:p>
        </w:tc>
        <w:tc>
          <w:tcPr>
            <w:tcW w:w="2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ApoB-100</w:t>
            </w:r>
          </w:p>
        </w:tc>
      </w:tr>
      <w:tr w:rsidR="00000000">
        <w:trPr>
          <w:divId w:val="1204709178"/>
        </w:trPr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HDL (High-Density Lipoprotein)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Protein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反向膽固醇運輸，將膽固醇帶回肝臟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ApoA-I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ApoA-II</w:t>
            </w:r>
          </w:p>
        </w:tc>
      </w:tr>
    </w:tbl>
    <w:p w:rsidR="0092288A" w:rsidRDefault="0092288A">
      <w:pPr>
        <w:pStyle w:val="3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92288A" w:rsidRDefault="0092288A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病理生理（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92288A" w:rsidRDefault="0092288A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動脈粥樣硬化：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高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LDL-C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會積聚於血管壁內</w:t>
      </w:r>
      <w:r>
        <w:rPr>
          <w:rFonts w:ascii="微軟正黑體" w:eastAsia="微軟正黑體" w:hAnsi="微軟正黑體" w:cs="Calibri" w:hint="eastAsia"/>
          <w:sz w:val="28"/>
          <w:szCs w:val="28"/>
        </w:rPr>
        <w:t>，形成動脈粥樣硬化斑塊，進一步引發血管狹窄或閉塞，影響血流，增加心血管事件風險（心肌梗死、缺血性中風）。</w:t>
      </w:r>
    </w:p>
    <w:p w:rsidR="0092288A" w:rsidRDefault="0092288A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低</w:t>
      </w:r>
      <w:r>
        <w:rPr>
          <w:rFonts w:ascii="微軟正黑體" w:eastAsia="微軟正黑體" w:hAnsi="微軟正黑體" w:cs="Calibri" w:hint="eastAsia"/>
          <w:sz w:val="28"/>
          <w:szCs w:val="28"/>
        </w:rPr>
        <w:t>HDL-C</w:t>
      </w:r>
      <w:r>
        <w:rPr>
          <w:rFonts w:ascii="微軟正黑體" w:eastAsia="微軟正黑體" w:hAnsi="微軟正黑體" w:cs="Calibri" w:hint="eastAsia"/>
          <w:sz w:val="28"/>
          <w:szCs w:val="28"/>
        </w:rPr>
        <w:t>：低密度脂蛋白膽固醇（</w:t>
      </w:r>
      <w:r>
        <w:rPr>
          <w:rFonts w:ascii="微軟正黑體" w:eastAsia="微軟正黑體" w:hAnsi="微軟正黑體" w:cs="Calibri" w:hint="eastAsia"/>
          <w:sz w:val="28"/>
          <w:szCs w:val="28"/>
        </w:rPr>
        <w:t>HDL-C</w:t>
      </w:r>
      <w:r>
        <w:rPr>
          <w:rFonts w:ascii="微軟正黑體" w:eastAsia="微軟正黑體" w:hAnsi="微軟正黑體" w:cs="Calibri" w:hint="eastAsia"/>
          <w:sz w:val="28"/>
          <w:szCs w:val="28"/>
        </w:rPr>
        <w:t>）具有反向膽固醇運輸作用，幫助清除血管內的膽固醇。</w:t>
      </w:r>
      <w:r>
        <w:rPr>
          <w:rFonts w:ascii="微軟正黑體" w:eastAsia="微軟正黑體" w:hAnsi="微軟正黑體" w:cs="Calibri" w:hint="eastAsia"/>
          <w:sz w:val="28"/>
          <w:szCs w:val="28"/>
        </w:rPr>
        <w:t>HDL-C</w:t>
      </w:r>
      <w:r>
        <w:rPr>
          <w:rFonts w:ascii="微軟正黑體" w:eastAsia="微軟正黑體" w:hAnsi="微軟正黑體" w:cs="Calibri" w:hint="eastAsia"/>
          <w:sz w:val="28"/>
          <w:szCs w:val="28"/>
        </w:rPr>
        <w:t>水平低時，會加重心血管風險。</w:t>
      </w:r>
    </w:p>
    <w:p w:rsidR="0092288A" w:rsidRDefault="0092288A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高三酸甘油酯（</w:t>
      </w:r>
      <w:r>
        <w:rPr>
          <w:rFonts w:ascii="微軟正黑體" w:eastAsia="微軟正黑體" w:hAnsi="微軟正黑體" w:cs="Calibri" w:hint="eastAsia"/>
          <w:sz w:val="28"/>
          <w:szCs w:val="28"/>
        </w:rPr>
        <w:t>TG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）：高</w:t>
      </w:r>
      <w:r>
        <w:rPr>
          <w:rFonts w:ascii="微軟正黑體" w:eastAsia="微軟正黑體" w:hAnsi="微軟正黑體" w:cs="Calibri" w:hint="eastAsia"/>
          <w:sz w:val="28"/>
          <w:szCs w:val="28"/>
        </w:rPr>
        <w:t>TG</w:t>
      </w:r>
      <w:r>
        <w:rPr>
          <w:rFonts w:ascii="微軟正黑體" w:eastAsia="微軟正黑體" w:hAnsi="微軟正黑體" w:cs="Calibri" w:hint="eastAsia"/>
          <w:sz w:val="28"/>
          <w:szCs w:val="28"/>
        </w:rPr>
        <w:t>與心血管疾病風險相關，尤其是與動脈粥樣硬化密切關聯。高</w:t>
      </w:r>
      <w:r>
        <w:rPr>
          <w:rFonts w:ascii="微軟正黑體" w:eastAsia="微軟正黑體" w:hAnsi="微軟正黑體" w:cs="Calibri" w:hint="eastAsia"/>
          <w:sz w:val="28"/>
          <w:szCs w:val="28"/>
        </w:rPr>
        <w:t>TG</w:t>
      </w:r>
      <w:r>
        <w:rPr>
          <w:rFonts w:ascii="微軟正黑體" w:eastAsia="微軟正黑體" w:hAnsi="微軟正黑體" w:cs="Calibri" w:hint="eastAsia"/>
          <w:sz w:val="28"/>
          <w:szCs w:val="28"/>
        </w:rPr>
        <w:t>還可能引發急性胰臟炎。</w:t>
      </w:r>
    </w:p>
    <w:p w:rsidR="0092288A" w:rsidRDefault="0092288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92288A" w:rsidRDefault="0092288A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</w:t>
      </w:r>
    </w:p>
    <w:p w:rsidR="0092288A" w:rsidRDefault="0092288A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Primary</w:t>
      </w:r>
      <w:r>
        <w:rPr>
          <w:rFonts w:ascii="微軟正黑體" w:eastAsia="微軟正黑體" w:hAnsi="微軟正黑體" w:cs="Calibri" w:hint="eastAsia"/>
          <w:sz w:val="28"/>
          <w:szCs w:val="28"/>
        </w:rPr>
        <w:t>（原發性，遺傳性）</w:t>
      </w:r>
    </w:p>
    <w:p w:rsidR="0092288A" w:rsidRDefault="0092288A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Familial combined hypercholesterolemia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（家族性混合型高膽固醇血症）</w:t>
      </w:r>
    </w:p>
    <w:p w:rsidR="0092288A" w:rsidRDefault="0092288A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Familial hypertriglyceridemia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（家族性高三酸甘油酯血症）</w:t>
      </w:r>
    </w:p>
    <w:p w:rsidR="0092288A" w:rsidRDefault="0092288A">
      <w:pPr>
        <w:numPr>
          <w:ilvl w:val="1"/>
          <w:numId w:val="5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Secondary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（繼發性）</w:t>
      </w:r>
    </w:p>
    <w:p w:rsidR="0092288A" w:rsidRDefault="0092288A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代謝性疾病：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（糖尿病）、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hypothyroidism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（甲狀腺功能低下）</w:t>
      </w:r>
    </w:p>
    <w:p w:rsidR="0092288A" w:rsidRDefault="0092288A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肝腎疾病：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Cholestatic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liver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（膽汁鬱積性肝病）、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nephrotic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（腎病症候群）、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chronic renal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（慢性腎臟病）</w:t>
      </w:r>
    </w:p>
    <w:p w:rsidR="0092288A" w:rsidRDefault="0092288A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生活習慣：肥胖、吸菸、過量飲酒</w:t>
      </w:r>
    </w:p>
    <w:p w:rsidR="0092288A" w:rsidRDefault="0092288A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藥物：</w:t>
      </w:r>
    </w:p>
    <w:p w:rsidR="0092288A" w:rsidRDefault="0092288A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Thiazide diuretics</w:t>
      </w:r>
    </w:p>
    <w:p w:rsidR="0092288A" w:rsidRDefault="0092288A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-blockers</w:t>
      </w:r>
    </w:p>
    <w:p w:rsidR="0092288A" w:rsidRDefault="0092288A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口服避孕藥</w:t>
      </w:r>
    </w:p>
    <w:p w:rsidR="0092288A" w:rsidRDefault="0092288A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Clozapine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（抗精神病藥</w:t>
      </w:r>
    </w:p>
    <w:p w:rsidR="0092288A" w:rsidRDefault="0092288A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病史與理學檢查（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History/PE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92288A" w:rsidRDefault="0092288A">
      <w:pPr>
        <w:numPr>
          <w:ilvl w:val="1"/>
          <w:numId w:val="6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大多數患者無明顯症狀</w:t>
      </w:r>
    </w:p>
    <w:p w:rsidR="0092288A" w:rsidRDefault="0092288A">
      <w:pPr>
        <w:numPr>
          <w:ilvl w:val="1"/>
          <w:numId w:val="6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嚴重高脂血症可能有體徵</w:t>
      </w:r>
    </w:p>
    <w:p w:rsidR="0092288A" w:rsidRDefault="0092288A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Xanthomata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（黃瘤）：</w:t>
      </w:r>
    </w:p>
    <w:p w:rsidR="0092288A" w:rsidRDefault="0092288A">
      <w:pPr>
        <w:numPr>
          <w:ilvl w:val="3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Eruptive xanthomas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（爆發性黃瘤）：瘙癢性結節</w:t>
      </w:r>
    </w:p>
    <w:p w:rsidR="0092288A" w:rsidRDefault="0092288A">
      <w:pPr>
        <w:numPr>
          <w:ilvl w:val="3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Tuberous xanthomas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（結節性黃瘤）：肘部、膝部結節</w:t>
      </w:r>
    </w:p>
    <w:p w:rsidR="0092288A" w:rsidRDefault="0092288A">
      <w:pPr>
        <w:numPr>
          <w:ilvl w:val="3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Palmar xanthomas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（掌紋黃瘤）：掌紋橘色條紋</w:t>
      </w:r>
    </w:p>
    <w:p w:rsidR="0092288A" w:rsidRDefault="0092288A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Xanthelasma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（眼瞼黃斑瘤）：眼周黃色脂肪沉積</w:t>
      </w:r>
    </w:p>
    <w:p w:rsidR="0092288A" w:rsidRDefault="0092288A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Lipemia retinalis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（乳糜血症性視網膜病變）：視網膜血管呈乳白色</w:t>
      </w:r>
    </w:p>
    <w:p w:rsidR="0092288A" w:rsidRDefault="0092288A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Corneal arcus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（角膜弧）：角膜基質脂質沉積</w:t>
      </w:r>
    </w:p>
    <w:p w:rsidR="0092288A" w:rsidRDefault="0092288A">
      <w:pPr>
        <w:numPr>
          <w:ilvl w:val="1"/>
          <w:numId w:val="6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嚴重高三酸甘油酯血症（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&gt;500 mg/dL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）可能導致急性胰臟炎（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pancreatitis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92288A" w:rsidRDefault="0092288A">
      <w:pPr>
        <w:numPr>
          <w:ilvl w:val="1"/>
          <w:numId w:val="6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可能有家族性高脂血症（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familial hyperlipidemia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）病史</w:t>
      </w:r>
    </w:p>
    <w:p w:rsidR="0092288A" w:rsidRDefault="0092288A">
      <w:pPr>
        <w:numPr>
          <w:ilvl w:val="0"/>
          <w:numId w:val="6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繼發性高脂血症常見病因</w:t>
      </w:r>
    </w:p>
    <w:p w:rsidR="0092288A" w:rsidRDefault="0092288A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Cushing syndrome</w:t>
      </w:r>
    </w:p>
    <w:p w:rsidR="0092288A" w:rsidRDefault="0092288A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Hypothyroidism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（甲狀腺功能低下）</w:t>
      </w:r>
    </w:p>
    <w:p w:rsidR="0092288A" w:rsidRDefault="0092288A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Nephrotic syndrome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（腎病症候群）</w:t>
      </w:r>
    </w:p>
    <w:p w:rsidR="0092288A" w:rsidRDefault="0092288A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Cholestasis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（膽汁鬱積）</w:t>
      </w:r>
    </w:p>
    <w:p w:rsidR="0092288A" w:rsidRDefault="0092288A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288A" w:rsidRDefault="0092288A">
      <w:pPr>
        <w:numPr>
          <w:ilvl w:val="0"/>
          <w:numId w:val="7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篩檢建議</w:t>
      </w:r>
    </w:p>
    <w:p w:rsidR="0092288A" w:rsidRDefault="0092288A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高血脂篩檢建議（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Dyslipidemia Screening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92288A" w:rsidRDefault="0092288A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依據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2023 ACC/AHA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2022 ESC/EAS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2022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台灣動脈硬化學會（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）指南，高血脂的篩檢應考量年齡、危險因子、家族病史，篩檢方法主要以空腹或非空腹血脂檢測（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Lipid Profile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為主。</w:t>
      </w:r>
    </w:p>
    <w:p w:rsidR="0092288A" w:rsidRDefault="0092288A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92288A" w:rsidRDefault="0092288A">
      <w:pPr>
        <w:numPr>
          <w:ilvl w:val="0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一般成人族群篩檢建議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3"/>
        <w:gridCol w:w="6393"/>
      </w:tblGrid>
      <w:tr w:rsidR="00000000">
        <w:trPr>
          <w:divId w:val="1656370563"/>
        </w:trPr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族群</w:t>
            </w:r>
          </w:p>
        </w:tc>
        <w:tc>
          <w:tcPr>
            <w:tcW w:w="8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篩檢建議</w:t>
            </w:r>
          </w:p>
        </w:tc>
      </w:tr>
      <w:tr w:rsidR="00000000">
        <w:trPr>
          <w:divId w:val="1656370563"/>
        </w:trPr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20-39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歲成人</w:t>
            </w:r>
          </w:p>
        </w:tc>
        <w:tc>
          <w:tcPr>
            <w:tcW w:w="9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有心血管危險因子者（如糖尿病、肥胖、吸菸、高血壓、家族史），應每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4-6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年檢測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次。</w:t>
            </w:r>
          </w:p>
        </w:tc>
      </w:tr>
      <w:tr w:rsidR="00000000">
        <w:trPr>
          <w:divId w:val="1656370563"/>
        </w:trPr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40-75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歲成人</w:t>
            </w:r>
          </w:p>
        </w:tc>
        <w:tc>
          <w:tcPr>
            <w:tcW w:w="8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所有人皆應篩檢，至少每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4-6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次，若為高風險族群（如糖尿病或心血管疾病）應每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1-2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年檢測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次。</w:t>
            </w:r>
          </w:p>
        </w:tc>
      </w:tr>
      <w:tr w:rsidR="00000000">
        <w:trPr>
          <w:divId w:val="1656370563"/>
        </w:trPr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&gt; 75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歲老年人</w:t>
            </w:r>
          </w:p>
        </w:tc>
        <w:tc>
          <w:tcPr>
            <w:tcW w:w="8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仍應持續監測，但應根據個人健康狀況與餘命決定是否積極治療。</w:t>
            </w:r>
          </w:p>
        </w:tc>
      </w:tr>
    </w:tbl>
    <w:p w:rsidR="0092288A" w:rsidRDefault="0092288A">
      <w:pPr>
        <w:pStyle w:val="2"/>
        <w:spacing w:before="0" w:beforeAutospacing="0" w:after="0" w:afterAutospacing="0"/>
        <w:ind w:left="540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92288A" w:rsidRDefault="0092288A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高風險族群的篩檢建議</w:t>
      </w:r>
    </w:p>
    <w:p w:rsidR="0092288A" w:rsidRDefault="0092288A">
      <w:pPr>
        <w:numPr>
          <w:ilvl w:val="1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以下高風險族群應每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1-2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年檢測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1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次，必要時可每年追蹤：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</w:p>
    <w:p w:rsidR="0092288A" w:rsidRDefault="0092288A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家族性高膽固醇血症（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）家族史（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等親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LDL 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190 mg/dL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或早發心血管病史）</w:t>
      </w:r>
    </w:p>
    <w:p w:rsidR="0092288A" w:rsidRDefault="0092288A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糖尿病（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Diabetes Mellitus, DM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2288A" w:rsidRDefault="0092288A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慢性腎病（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Chronic Kidney Disease, CKD, eGFR &lt; 60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2288A" w:rsidRDefault="0092288A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動脈粥樣硬化性心血管疾病（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ASCVD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）病史</w:t>
      </w:r>
    </w:p>
    <w:p w:rsidR="0092288A" w:rsidRDefault="0092288A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Hypertension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2288A" w:rsidRDefault="0092288A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肥胖（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BMI 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2288A" w:rsidRDefault="0092288A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吸菸者</w:t>
      </w:r>
    </w:p>
    <w:p w:rsidR="0092288A" w:rsidRDefault="0092288A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高膽固醇血症（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LDL-C 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190 mg/dL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2288A" w:rsidRDefault="0092288A">
      <w:pPr>
        <w:numPr>
          <w:ilvl w:val="0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92288A" w:rsidRDefault="0092288A">
      <w:pPr>
        <w:numPr>
          <w:ilvl w:val="1"/>
          <w:numId w:val="9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首選檢查：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Lipid profile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（血脂分析）</w:t>
      </w:r>
    </w:p>
    <w:p w:rsidR="0092288A" w:rsidRDefault="0092288A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Total cholesterol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↑</w:t>
      </w:r>
    </w:p>
    <w:p w:rsidR="0092288A" w:rsidRDefault="0092288A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LDL-C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↑</w:t>
      </w:r>
    </w:p>
    <w:p w:rsidR="0092288A" w:rsidRDefault="0092288A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Triglycerides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↑</w:t>
      </w:r>
    </w:p>
    <w:p w:rsidR="0092288A" w:rsidRDefault="0092288A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HDL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↓</w:t>
      </w:r>
    </w:p>
    <w:p w:rsidR="0092288A" w:rsidRDefault="0092288A">
      <w:pPr>
        <w:numPr>
          <w:ilvl w:val="0"/>
          <w:numId w:val="10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診斷標準：</w:t>
      </w:r>
    </w:p>
    <w:p w:rsidR="0092288A" w:rsidRDefault="0092288A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總膽固醇（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Total Cholesterol, TC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Cambria Math" w:hAnsi="Cambria Math" w:cs="Calibri"/>
          <w:color w:val="C00000"/>
          <w:sz w:val="28"/>
          <w:szCs w:val="28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 xml:space="preserve"> 200 mg/dL</w:t>
      </w:r>
    </w:p>
    <w:p w:rsidR="0092288A" w:rsidRDefault="0092288A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低密度脂蛋白（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LDL-C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Cambria Math" w:hAnsi="Cambria Math" w:cs="Calibri"/>
          <w:color w:val="C00000"/>
          <w:sz w:val="28"/>
          <w:szCs w:val="28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 xml:space="preserve"> 130 mg/dL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（建議控制在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&lt; 100 mg/dL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，對於高風險者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&lt; 70 mg/dL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92288A" w:rsidRDefault="0092288A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高密度脂蛋白（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HDL-C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&lt; 40 mg/dL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（男性）或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 xml:space="preserve"> &lt; 50 mg/dL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（女性）</w:t>
      </w:r>
    </w:p>
    <w:p w:rsidR="0092288A" w:rsidRDefault="0092288A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三酸甘油酯（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Triglycerides, TG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Cambria Math" w:hAnsi="Cambria Math" w:cs="Calibri"/>
          <w:color w:val="C00000"/>
          <w:sz w:val="28"/>
          <w:szCs w:val="28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 xml:space="preserve"> 150 mg/dL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（嚴重高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TG &gt; 500 mg/dL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會增加胰臟炎風險）</w:t>
      </w:r>
    </w:p>
    <w:p w:rsidR="0092288A" w:rsidRDefault="0092288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92288A" w:rsidRDefault="0092288A">
      <w:pPr>
        <w:numPr>
          <w:ilvl w:val="0"/>
          <w:numId w:val="1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根據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2022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年台灣動脈硬化學會（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TAS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）指南，針對動脈粥樣硬化性心血管疾病（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ASCVD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）的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LDL-C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目標值如下：</w:t>
      </w:r>
    </w:p>
    <w:p w:rsidR="0092288A" w:rsidRDefault="0092288A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LDL-C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目標值依據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ASCVD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風險分層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1"/>
        <w:gridCol w:w="4061"/>
        <w:gridCol w:w="2114"/>
      </w:tblGrid>
      <w:tr w:rsidR="00000000">
        <w:trPr>
          <w:divId w:val="1731614197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風險等級</w:t>
            </w:r>
          </w:p>
        </w:tc>
        <w:tc>
          <w:tcPr>
            <w:tcW w:w="6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LDL-C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目標值</w:t>
            </w:r>
          </w:p>
        </w:tc>
      </w:tr>
      <w:tr w:rsidR="00000000">
        <w:trPr>
          <w:divId w:val="1731614197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極高風險（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Very High Risk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已確診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ASCVD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（如心肌梗塞、腦中風、周邊動脈疾病），或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糖尿病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靶器官損害（如微量白蛋白尿）</w:t>
            </w:r>
          </w:p>
        </w:tc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55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1.4 mmol/L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且降幅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50%</w:t>
            </w:r>
          </w:p>
        </w:tc>
      </w:tr>
      <w:tr w:rsidR="00000000">
        <w:trPr>
          <w:divId w:val="1731614197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High Risk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糖尿病（無靶器官損害）、慢性腎病（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CKD stage 3-4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年風險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&gt; 20%</w:t>
            </w:r>
          </w:p>
        </w:tc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70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1.8 mmol/L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且降幅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50%</w:t>
            </w:r>
          </w:p>
        </w:tc>
      </w:tr>
      <w:tr w:rsidR="00000000">
        <w:trPr>
          <w:divId w:val="1731614197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Moderate Risk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個以上心血管危險因子（高血壓、吸菸、家族史等），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年風險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10-20%</w:t>
            </w:r>
          </w:p>
        </w:tc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100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2.6 mmol/L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731614197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Low Risk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無主要心血管危險因子或僅有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個危險因子，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年風險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 10%</w:t>
            </w:r>
          </w:p>
        </w:tc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130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3.4 mmol/L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92288A" w:rsidRDefault="0092288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2288A" w:rsidRDefault="0092288A">
      <w:pPr>
        <w:numPr>
          <w:ilvl w:val="0"/>
          <w:numId w:val="1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）：</w:t>
      </w:r>
    </w:p>
    <w:p w:rsidR="0092288A" w:rsidRDefault="0092288A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治療主要分為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生活方式調整（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Lifestyle Modification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）與藥物治療（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Pharmacologic Therapy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92288A" w:rsidRDefault="0092288A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生活方式調整（適用所有患者）：</w:t>
      </w:r>
    </w:p>
    <w:p w:rsidR="0092288A" w:rsidRDefault="0092288A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低脂飲食（減少紅肉攝取，增加膳食纖維）</w:t>
      </w:r>
    </w:p>
    <w:p w:rsidR="0092288A" w:rsidRDefault="0092288A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規律有氧運動</w:t>
      </w:r>
    </w:p>
    <w:p w:rsidR="0092288A" w:rsidRDefault="0092288A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減重</w:t>
      </w:r>
    </w:p>
    <w:p w:rsidR="0092288A" w:rsidRDefault="0092288A">
      <w:pPr>
        <w:numPr>
          <w:ilvl w:val="1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藥物治療指引（依據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American College of Cardiology/American Heart Association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92288A" w:rsidRDefault="0092288A">
      <w:pPr>
        <w:numPr>
          <w:ilvl w:val="2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Statins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（他汀類）為首選藥物</w:t>
      </w:r>
    </w:p>
    <w:p w:rsidR="0092288A" w:rsidRDefault="0092288A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高強度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Statin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LDL-C &gt;50%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92288A" w:rsidRDefault="0092288A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Atorvastatin 40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80 mg</w:t>
      </w:r>
    </w:p>
    <w:p w:rsidR="0092288A" w:rsidRDefault="0092288A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Rosuvastatin 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40 mg</w:t>
      </w:r>
    </w:p>
    <w:p w:rsidR="0092288A" w:rsidRDefault="0092288A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中等強度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Statin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LDL-C 30%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2288A" w:rsidRDefault="0092288A">
      <w:pPr>
        <w:numPr>
          <w:ilvl w:val="2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高三酸甘油酯血症治療</w:t>
      </w:r>
    </w:p>
    <w:p w:rsidR="0092288A" w:rsidRDefault="0092288A">
      <w:pPr>
        <w:numPr>
          <w:ilvl w:val="3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初始治療：生活方式調整、治療繼發性病因（如糖尿病、慢性腎病）</w:t>
      </w:r>
    </w:p>
    <w:p w:rsidR="0092288A" w:rsidRDefault="0092288A">
      <w:pPr>
        <w:numPr>
          <w:ilvl w:val="3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ASCVD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風險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7.5%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statins</w:t>
      </w:r>
    </w:p>
    <w:p w:rsidR="0092288A" w:rsidRDefault="0092288A">
      <w:pPr>
        <w:numPr>
          <w:ilvl w:val="3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預防胰臟炎（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triglycerides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1000 mg/dL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Fibrate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（貝特類藥物）</w:t>
      </w:r>
    </w:p>
    <w:p w:rsidR="0092288A" w:rsidRDefault="0092288A">
      <w:pPr>
        <w:pStyle w:val="Web"/>
        <w:spacing w:beforeAutospacing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92288A" w:rsidRDefault="0092288A">
      <w:pPr>
        <w:numPr>
          <w:ilvl w:val="0"/>
          <w:numId w:val="13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Dyslipidemia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藥物整理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0"/>
        <w:gridCol w:w="1827"/>
        <w:gridCol w:w="1542"/>
        <w:gridCol w:w="1286"/>
        <w:gridCol w:w="2147"/>
        <w:gridCol w:w="1701"/>
      </w:tblGrid>
      <w:tr w:rsidR="00000000">
        <w:trPr>
          <w:divId w:val="224872735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藥物類別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代表藥物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作用機轉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主要副作用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考點</w:t>
            </w:r>
          </w:p>
        </w:tc>
      </w:tr>
      <w:tr w:rsidR="00000000">
        <w:trPr>
          <w:divId w:val="224872735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Statins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Atorvastatin, Rosuvastatin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HMG-CoA reductase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，降低肝臟膽固醇合成，增加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表現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LDL-C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（首選）、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ASCVD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預防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肝毒性、肌肉病變（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CK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↑）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首選藥物，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Statin + Fibrate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肌肉毒性</w:t>
            </w:r>
          </w:p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LDL </w:t>
            </w:r>
          </w:p>
        </w:tc>
      </w:tr>
      <w:tr w:rsidR="00000000">
        <w:trPr>
          <w:divId w:val="224872735"/>
        </w:trPr>
        <w:tc>
          <w:tcPr>
            <w:tcW w:w="1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Bile Acid Sequestrants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（膽酸螯合劑）</w:t>
            </w:r>
          </w:p>
        </w:tc>
        <w:tc>
          <w:tcPr>
            <w:tcW w:w="2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Cholestyramine, Colesevelam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與膽酸結合，促使膽固醇轉化為膽酸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適合年輕患者或孕婦的高膽固醇血症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胃腸不適（便秘、腹脹）、可能影響脂溶性維生素吸收</w:t>
            </w:r>
          </w:p>
        </w:tc>
        <w:tc>
          <w:tcPr>
            <w:tcW w:w="1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LDL</w:t>
            </w:r>
          </w:p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輕微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HDL</w:t>
            </w:r>
          </w:p>
        </w:tc>
      </w:tr>
      <w:tr w:rsidR="00000000">
        <w:trPr>
          <w:divId w:val="224872735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Fibrates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Gemfibrozil, Fenofibrate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活化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PPAR-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α，增加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LPL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活性，降低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VLDL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產生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高三酸甘油酯（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 &gt;1000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），預防胰臟炎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膽結石（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cholelithiasis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）、肌肉毒性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TG &gt;1000 mg/dL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Fibrate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Statin + Gemfibrozil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肌肉毒性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TG </w:t>
            </w:r>
          </w:p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HDL </w:t>
            </w:r>
          </w:p>
        </w:tc>
      </w:tr>
      <w:tr w:rsidR="00000000">
        <w:trPr>
          <w:divId w:val="224872735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Niacin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Niacin (Vit B3)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抑制肝臟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VLDL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合成，增加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HDL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提高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，輕度高膽固醇血症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潮紅（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flushing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PGE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介導）、高尿酸血症（痛風）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減少潮紅反應</w:t>
            </w:r>
          </w:p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TG </w:t>
            </w:r>
          </w:p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HDL</w:t>
            </w:r>
          </w:p>
        </w:tc>
      </w:tr>
      <w:tr w:rsidR="00000000">
        <w:trPr>
          <w:divId w:val="224872735"/>
        </w:trPr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Ezetimibe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（膽固醇吸收抑制劑）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Ezetimibe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抑制腸道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NPC1L1 transporter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，減少膽固醇吸收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LDL-C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（可與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合併）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腹瀉、肝功能異常（罕見）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併用</w:t>
            </w:r>
          </w:p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LDL </w:t>
            </w:r>
          </w:p>
        </w:tc>
      </w:tr>
      <w:tr w:rsidR="00000000">
        <w:trPr>
          <w:divId w:val="224872735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PCSK9 inhibitors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Alirocumab, Evolocumab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PCSK9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受體表現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家族性高膽固醇血症（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），無法耐受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者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注射部位反應，罕見肝功能異常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高風險患者（如家族性高膽固醇血症）適用</w:t>
            </w:r>
          </w:p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LDL </w:t>
            </w:r>
          </w:p>
        </w:tc>
      </w:tr>
      <w:tr w:rsidR="00000000">
        <w:trPr>
          <w:divId w:val="224872735"/>
        </w:trPr>
        <w:tc>
          <w:tcPr>
            <w:tcW w:w="1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Omega-3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脂肪酸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Fish oil, Icosapent ethyl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減少肝臟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VLDL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合成，降低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中等程度高三酸甘油酯血症（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 200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500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胃腸不適、魚腥味回流</w:t>
            </w:r>
          </w:p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，但效果不如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fibrates</w:t>
            </w:r>
          </w:p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TG </w:t>
            </w:r>
          </w:p>
        </w:tc>
      </w:tr>
      <w:tr w:rsidR="00000000">
        <w:trPr>
          <w:divId w:val="224872735"/>
        </w:trPr>
        <w:tc>
          <w:tcPr>
            <w:tcW w:w="1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MTP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Microsomal Triglyceride Transfer Protein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）抑制劑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Lomitapide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microsomal triglyceride transfer protein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MTP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產生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家族性高膽固醇血症，適合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PCSK9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抑制劑效果不佳的患者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噁心、腹瀉、肝內脂肪堆積（脂肪肝）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口服劑型，但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GI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副作用明顯，需低脂飲食以減少腸胃不適。需監測肝酶（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ALT/AST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），避免嚴重肝毒性。</w:t>
            </w:r>
          </w:p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LDL </w:t>
            </w:r>
          </w:p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224872735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ApoB-100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Mipomersen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ApoB-100 mRNA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生成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家族性高膽固醇血症，適合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PCSK9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抑制劑效果不佳的患者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注射部位反應、類流感症狀、肝內脂肪堆積（脂肪肝）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皮下注射，常見注射部位反應，但主要問題是肝脂肪增加，可能影響肝功能。需監測肝酶（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ALT/AST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），避免嚴重肝毒性。</w:t>
            </w:r>
          </w:p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LDL </w:t>
            </w:r>
          </w:p>
          <w:p w:rsidR="0092288A" w:rsidRDefault="0092288A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92288A" w:rsidRDefault="0092288A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Statins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仍為第一線藥物，但若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LDL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降幅不足，可加用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Ezetimibe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PCSK9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抑制劑。</w:t>
      </w:r>
    </w:p>
    <w:p w:rsidR="0092288A" w:rsidRDefault="0092288A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TG &gt; 500 mg/dL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時，優先使用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Fibrates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Omega-3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，避免胰臟炎風險。</w:t>
      </w:r>
    </w:p>
    <w:p w:rsidR="0092288A" w:rsidRDefault="0092288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92288A" w:rsidRDefault="0092288A">
      <w:pPr>
        <w:numPr>
          <w:ilvl w:val="0"/>
          <w:numId w:val="1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依風險等級的治療策略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29"/>
        <w:gridCol w:w="3677"/>
      </w:tblGrid>
      <w:tr w:rsidR="00000000">
        <w:trPr>
          <w:divId w:val="1997758760"/>
        </w:trPr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風險族群</w:t>
            </w:r>
          </w:p>
        </w:tc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1997758760"/>
        </w:trPr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 &lt; 130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生活方式調整</w:t>
            </w:r>
          </w:p>
        </w:tc>
      </w:tr>
      <w:tr w:rsidR="00000000">
        <w:trPr>
          <w:divId w:val="1997758760"/>
        </w:trPr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 100-129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生活方式調整，考慮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Statins</w:t>
            </w:r>
          </w:p>
        </w:tc>
      </w:tr>
      <w:tr w:rsidR="00000000">
        <w:trPr>
          <w:divId w:val="1997758760"/>
        </w:trPr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LDL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100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ASCVD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7.5%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Statins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第一線，若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不達標可加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Ezetimibe</w:t>
            </w:r>
          </w:p>
        </w:tc>
      </w:tr>
      <w:tr w:rsidR="00000000">
        <w:trPr>
          <w:divId w:val="1997758760"/>
        </w:trPr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極高風險（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LDL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70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，已有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ASCVD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FH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強效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Statins + Ezetimibe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PCSK9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</w:tc>
      </w:tr>
    </w:tbl>
    <w:p w:rsidR="0092288A" w:rsidRDefault="0092288A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92288A" w:rsidRDefault="0092288A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92288A" w:rsidRDefault="0092288A">
      <w:pPr>
        <w:numPr>
          <w:ilvl w:val="0"/>
          <w:numId w:val="16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HARRISON Principles of Internal Medicine 20th Edition</w:t>
      </w:r>
    </w:p>
    <w:p w:rsidR="0092288A" w:rsidRDefault="0092288A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Dyslipidemia</w:t>
      </w:r>
    </w:p>
    <w:p w:rsidR="0092288A" w:rsidRDefault="0092288A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https://www.tas.org.tw/upload/files/1-s2_0-S0929664622001036-main.pdf</w:t>
        </w:r>
      </w:hyperlink>
    </w:p>
    <w:p w:rsidR="0092288A" w:rsidRDefault="0092288A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https://www.tas.org.tw/upload/files/1-s2_0-S0929664622002157-main%20(1).pdf</w:t>
        </w:r>
      </w:hyperlink>
    </w:p>
    <w:p w:rsidR="0092288A" w:rsidRDefault="0092288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288A" w:rsidRDefault="0092288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C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建議：</w:t>
      </w:r>
    </w:p>
    <w:p w:rsidR="0092288A" w:rsidRDefault="0092288A">
      <w:pPr>
        <w:pStyle w:val="Web"/>
        <w:spacing w:before="0" w:beforeAutospacing="0" w:after="0" w:afterAutospacing="0"/>
        <w:rPr>
          <w:rFonts w:ascii="Calibri" w:hAnsi="Calibri" w:cs="Calibri" w:hint="eastAsia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 </w:t>
      </w:r>
    </w:p>
    <w:p w:rsidR="0092288A" w:rsidRDefault="0092288A">
      <w:pPr>
        <w:pStyle w:val="Web"/>
        <w:spacing w:before="0" w:beforeAutospacing="0" w:after="0" w:afterAutospacing="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 </w:t>
      </w:r>
    </w:p>
    <w:p w:rsidR="0092288A" w:rsidRDefault="0092288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C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請問現行台灣關於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/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高危險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/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中危險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/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以及最近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12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個月有過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Stroke&amp;stenosis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活著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AF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患者的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LDL/TG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的下降要求量是多少？</w:t>
      </w:r>
    </w:p>
    <w:p w:rsidR="0092288A" w:rsidRDefault="0092288A">
      <w:pPr>
        <w:pStyle w:val="Web"/>
        <w:spacing w:before="0" w:beforeAutospacing="0" w:after="0" w:afterAutospacing="0"/>
        <w:rPr>
          <w:rFonts w:ascii="Calibri" w:hAnsi="Calibri" w:cs="Calibri" w:hint="eastAsia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 </w:t>
      </w:r>
    </w:p>
    <w:p w:rsidR="0092288A" w:rsidRDefault="0092288A">
      <w:pPr>
        <w:pStyle w:val="Web"/>
        <w:spacing w:before="0" w:beforeAutospacing="0" w:after="0" w:afterAutospacing="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 </w:t>
      </w:r>
    </w:p>
    <w:p w:rsidR="0092288A" w:rsidRDefault="0092288A">
      <w:pPr>
        <w:pStyle w:val="3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歐洲心臟學會（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ESC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/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歐洲動脈硬化學會（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EAS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 xml:space="preserve">2019 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年脂質異常治療指引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09"/>
        <w:gridCol w:w="1322"/>
        <w:gridCol w:w="1255"/>
      </w:tblGrid>
      <w:tr w:rsidR="00000000">
        <w:trPr>
          <w:divId w:val="1196431178"/>
        </w:trPr>
        <w:tc>
          <w:tcPr>
            <w:tcW w:w="6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風險分類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LDL-C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目標值</w:t>
            </w:r>
          </w:p>
        </w:tc>
        <w:tc>
          <w:tcPr>
            <w:tcW w:w="1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相對降低幅度</w:t>
            </w:r>
          </w:p>
        </w:tc>
      </w:tr>
      <w:tr w:rsidR="00000000">
        <w:trPr>
          <w:divId w:val="1196431178"/>
        </w:trPr>
        <w:tc>
          <w:tcPr>
            <w:tcW w:w="6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非常高風險（如：已知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ASCVD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、糖尿病合併器官損害、嚴重慢性腎病）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 55 mg/dL</w:t>
            </w:r>
          </w:p>
        </w:tc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≥ 50% </w:t>
            </w:r>
            <w:r>
              <w:rPr>
                <w:rFonts w:ascii="Calibri" w:hAnsi="Calibri" w:cs="Calibri"/>
                <w:sz w:val="22"/>
                <w:szCs w:val="22"/>
              </w:rPr>
              <w:t>降低</w:t>
            </w:r>
          </w:p>
        </w:tc>
      </w:tr>
      <w:tr w:rsidR="00000000">
        <w:trPr>
          <w:divId w:val="1196431178"/>
        </w:trPr>
        <w:tc>
          <w:tcPr>
            <w:tcW w:w="6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高風險（如：顯著升高的單一危險因子）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 70 mg/dL</w:t>
            </w:r>
          </w:p>
        </w:tc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≥ 50% </w:t>
            </w:r>
            <w:r>
              <w:rPr>
                <w:rFonts w:ascii="Calibri" w:hAnsi="Calibri" w:cs="Calibri"/>
                <w:sz w:val="22"/>
                <w:szCs w:val="22"/>
              </w:rPr>
              <w:t>降低</w:t>
            </w:r>
          </w:p>
        </w:tc>
      </w:tr>
      <w:tr w:rsidR="00000000">
        <w:trPr>
          <w:divId w:val="1196431178"/>
        </w:trPr>
        <w:tc>
          <w:tcPr>
            <w:tcW w:w="6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中等風險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 100 mg/dL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rPr>
          <w:divId w:val="1196431178"/>
        </w:trPr>
        <w:tc>
          <w:tcPr>
            <w:tcW w:w="6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低風險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 116 mg/dL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288A" w:rsidRDefault="0092288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92288A" w:rsidRDefault="0092288A">
      <w:pPr>
        <w:pStyle w:val="Web"/>
        <w:spacing w:beforeAutospacing="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TG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控制目標</w:t>
      </w:r>
      <w:r>
        <w:rPr>
          <w:rFonts w:ascii="Calibri" w:hAnsi="Calibri" w:cs="Calibri"/>
          <w:color w:val="000000"/>
          <w:sz w:val="32"/>
          <w:szCs w:val="32"/>
        </w:rPr>
        <w:t>：</w:t>
      </w:r>
      <w:r>
        <w:rPr>
          <w:rFonts w:ascii="Calibri" w:hAnsi="Calibri" w:cs="Calibri"/>
          <w:color w:val="000000"/>
          <w:sz w:val="32"/>
          <w:szCs w:val="32"/>
        </w:rPr>
        <w:t xml:space="preserve">ESC/EAS </w:t>
      </w:r>
      <w:r>
        <w:rPr>
          <w:rFonts w:ascii="Calibri" w:hAnsi="Calibri" w:cs="Calibri"/>
          <w:color w:val="000000"/>
          <w:sz w:val="32"/>
          <w:szCs w:val="32"/>
        </w:rPr>
        <w:t>指南建議將</w:t>
      </w:r>
      <w:r>
        <w:rPr>
          <w:rFonts w:ascii="Calibri" w:hAnsi="Calibri" w:cs="Calibri"/>
          <w:color w:val="000000"/>
          <w:sz w:val="32"/>
          <w:szCs w:val="32"/>
        </w:rPr>
        <w:t xml:space="preserve"> TG </w:t>
      </w:r>
      <w:r>
        <w:rPr>
          <w:rFonts w:ascii="Calibri" w:hAnsi="Calibri" w:cs="Calibri"/>
          <w:color w:val="000000"/>
          <w:sz w:val="32"/>
          <w:szCs w:val="32"/>
        </w:rPr>
        <w:t>水平控制在</w:t>
      </w:r>
      <w:r>
        <w:rPr>
          <w:rFonts w:ascii="Calibri" w:hAnsi="Calibri" w:cs="Calibri"/>
          <w:color w:val="000000"/>
          <w:sz w:val="32"/>
          <w:szCs w:val="32"/>
        </w:rPr>
        <w:t xml:space="preserve"> &lt; 150 mg/dL</w:t>
      </w:r>
      <w:r>
        <w:rPr>
          <w:rFonts w:ascii="Calibri" w:hAnsi="Calibri" w:cs="Calibri"/>
          <w:color w:val="000000"/>
          <w:sz w:val="32"/>
          <w:szCs w:val="32"/>
        </w:rPr>
        <w:t>，特別是對於高風險患者。</w:t>
      </w:r>
    </w:p>
    <w:p w:rsidR="0092288A" w:rsidRDefault="0092288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C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那台灣呢？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2288A" w:rsidRDefault="0092288A" w:rsidP="0092288A">
      <w:r>
        <w:separator/>
      </w:r>
    </w:p>
  </w:endnote>
  <w:endnote w:type="continuationSeparator" w:id="0">
    <w:p w:rsidR="0092288A" w:rsidRDefault="0092288A" w:rsidP="0092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2288A" w:rsidRDefault="0092288A" w:rsidP="0092288A">
      <w:r>
        <w:separator/>
      </w:r>
    </w:p>
  </w:footnote>
  <w:footnote w:type="continuationSeparator" w:id="0">
    <w:p w:rsidR="0092288A" w:rsidRDefault="0092288A" w:rsidP="00922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B325F"/>
    <w:multiLevelType w:val="multilevel"/>
    <w:tmpl w:val="692C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54C1F"/>
    <w:multiLevelType w:val="multilevel"/>
    <w:tmpl w:val="0D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24339"/>
    <w:multiLevelType w:val="multilevel"/>
    <w:tmpl w:val="5CE6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5C746B"/>
    <w:multiLevelType w:val="multilevel"/>
    <w:tmpl w:val="F292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04614"/>
    <w:multiLevelType w:val="multilevel"/>
    <w:tmpl w:val="65C8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4D6522"/>
    <w:multiLevelType w:val="multilevel"/>
    <w:tmpl w:val="3B6C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C21C35"/>
    <w:multiLevelType w:val="multilevel"/>
    <w:tmpl w:val="CA5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CE17D7"/>
    <w:multiLevelType w:val="multilevel"/>
    <w:tmpl w:val="6EBC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7E416E"/>
    <w:multiLevelType w:val="multilevel"/>
    <w:tmpl w:val="C0BC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971123"/>
    <w:multiLevelType w:val="multilevel"/>
    <w:tmpl w:val="2BD6FC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61065F1"/>
    <w:multiLevelType w:val="multilevel"/>
    <w:tmpl w:val="5144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2D7FF9"/>
    <w:multiLevelType w:val="multilevel"/>
    <w:tmpl w:val="7622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32260C"/>
    <w:multiLevelType w:val="multilevel"/>
    <w:tmpl w:val="89D4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C6214F"/>
    <w:multiLevelType w:val="multilevel"/>
    <w:tmpl w:val="2592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C8635B"/>
    <w:multiLevelType w:val="multilevel"/>
    <w:tmpl w:val="D37E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696A43"/>
    <w:multiLevelType w:val="multilevel"/>
    <w:tmpl w:val="A5DA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4E5C1F"/>
    <w:multiLevelType w:val="multilevel"/>
    <w:tmpl w:val="93E0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7240205">
    <w:abstractNumId w:val="12"/>
  </w:num>
  <w:num w:numId="2" w16cid:durableId="1581400600">
    <w:abstractNumId w:val="3"/>
  </w:num>
  <w:num w:numId="3" w16cid:durableId="1847204667">
    <w:abstractNumId w:val="6"/>
  </w:num>
  <w:num w:numId="4" w16cid:durableId="1466004611">
    <w:abstractNumId w:val="8"/>
  </w:num>
  <w:num w:numId="5" w16cid:durableId="1982496510">
    <w:abstractNumId w:val="2"/>
  </w:num>
  <w:num w:numId="6" w16cid:durableId="126708445">
    <w:abstractNumId w:val="5"/>
  </w:num>
  <w:num w:numId="7" w16cid:durableId="1654486581">
    <w:abstractNumId w:val="15"/>
  </w:num>
  <w:num w:numId="8" w16cid:durableId="688063729">
    <w:abstractNumId w:val="1"/>
  </w:num>
  <w:num w:numId="9" w16cid:durableId="2051106145">
    <w:abstractNumId w:val="14"/>
  </w:num>
  <w:num w:numId="10" w16cid:durableId="1445809746">
    <w:abstractNumId w:val="0"/>
  </w:num>
  <w:num w:numId="11" w16cid:durableId="363291398">
    <w:abstractNumId w:val="10"/>
  </w:num>
  <w:num w:numId="12" w16cid:durableId="855658963">
    <w:abstractNumId w:val="4"/>
  </w:num>
  <w:num w:numId="13" w16cid:durableId="1755282477">
    <w:abstractNumId w:val="11"/>
  </w:num>
  <w:num w:numId="14" w16cid:durableId="415057433">
    <w:abstractNumId w:val="9"/>
  </w:num>
  <w:num w:numId="15" w16cid:durableId="1254975892">
    <w:abstractNumId w:val="16"/>
  </w:num>
  <w:num w:numId="16" w16cid:durableId="2095785656">
    <w:abstractNumId w:val="13"/>
    <w:lvlOverride w:ilvl="0">
      <w:startOverride w:val="1"/>
    </w:lvlOverride>
  </w:num>
  <w:num w:numId="17" w16cid:durableId="456342425">
    <w:abstractNumId w:val="7"/>
    <w:lvlOverride w:ilvl="0">
      <w:startOverride w:val="2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7F3D91"/>
    <w:rsid w:val="0092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8C8B2D0-4083-4E39-AC86-5095C5C1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9228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2288A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9228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288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7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s.org.tw/upload/files/1-s2_0-S0929664622002157-main%20(1)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s.org.tw/upload/files/1-s2_0-S0929664622001036-mai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