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B6C" w:rsidRDefault="00F85B6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食道癌</w:t>
      </w:r>
    </w:p>
    <w:p w:rsidR="00F85B6C" w:rsidRDefault="00F85B6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F85B6C" w:rsidRDefault="00F85B6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F85B6C" w:rsidRDefault="00F85B6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5B6C" w:rsidRDefault="00F85B6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85B6C" w:rsidRDefault="00F85B6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85B6C" w:rsidRDefault="00F85B6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85B6C" w:rsidRDefault="00F85B6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85B6C" w:rsidRDefault="00F85B6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85B6C" w:rsidRDefault="00F85B6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85B6C" w:rsidRDefault="00F85B6C">
      <w:pPr>
        <w:numPr>
          <w:ilvl w:val="0"/>
          <w:numId w:val="2"/>
        </w:numPr>
        <w:spacing w:line="5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食道癌</w:t>
      </w:r>
    </w:p>
    <w:p w:rsidR="00F85B6C" w:rsidRDefault="00F85B6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F85B6C" w:rsidRDefault="00F85B6C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主要類型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(Esophageal squamous cell carcinoma, ESCC)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(Esophageal adenocarcinoma, EAC):</w:t>
      </w:r>
    </w:p>
    <w:p w:rsidR="00F85B6C" w:rsidRDefault="00F85B6C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罕見類型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神經內分泌腫瘤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(Neuroendocrine tumors)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非上皮腫瘤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(Non-epithelial tumors)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小細胞食道癌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(Small cell esophageal cancer)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惡性黑色素瘤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(Malignant melanoma)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未分化癌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(Undifferentiated cancer)</w:t>
      </w:r>
    </w:p>
    <w:p w:rsidR="00F85B6C" w:rsidRDefault="00F85B6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症狀</w:t>
      </w:r>
    </w:p>
    <w:p w:rsidR="00F85B6C" w:rsidRDefault="00F85B6C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常見的症狀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(dysphagia)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吞嚥疼痛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(odynophagia)</w:t>
      </w:r>
    </w:p>
    <w:p w:rsidR="00F85B6C" w:rsidRDefault="00F85B6C">
      <w:pPr>
        <w:numPr>
          <w:ilvl w:val="2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其他症狀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吐血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(hematemesis) 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黑便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(melena)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食慾不振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(anorexia) 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 xml:space="preserve"> (weight loss)</w:t>
      </w:r>
    </w:p>
    <w:p w:rsidR="00F85B6C" w:rsidRDefault="00F85B6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食道鱗狀細胞癌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ESCC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sz w:val="28"/>
          <w:szCs w:val="28"/>
        </w:rPr>
        <w:t>食道腺癌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EAC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比較</w:t>
      </w:r>
    </w:p>
    <w:p w:rsidR="00F85B6C" w:rsidRDefault="00F85B6C">
      <w:pPr>
        <w:numPr>
          <w:ilvl w:val="2"/>
          <w:numId w:val="2"/>
        </w:numPr>
        <w:textAlignment w:val="center"/>
        <w:divId w:val="1020545774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1"/>
        <w:gridCol w:w="2228"/>
        <w:gridCol w:w="2967"/>
      </w:tblGrid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食道鱗狀細胞癌（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ESCC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好發部位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上部與中部</w:t>
            </w:r>
          </w:p>
        </w:tc>
        <w:tc>
          <w:tcPr>
            <w:tcW w:w="3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下部與胃食道交接處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地理分布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亞洲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（特別是中國）、中東（如伊朗）、法國北部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美國、西歐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危險因子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酗酒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吸菸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、熱飲、硝酸鹽、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放射治療、食道失弛症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(achalasia)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慢性胃食道逆流（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GERD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）、巴瑞特氏食道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、肥胖、男性、吸菸</w:t>
            </w:r>
          </w:p>
        </w:tc>
      </w:tr>
      <w:tr w:rsidR="00000000">
        <w:trPr>
          <w:divId w:val="1020545774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與遺傳疾病相關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Tylosis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RHBDF2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Plummer-Vinson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症候群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林奇症候群（輕微關聯）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吞嚥困難、吞嚥疼痛、體重減輕、吐血、黑便</w:t>
            </w:r>
          </w:p>
        </w:tc>
        <w:tc>
          <w:tcPr>
            <w:tcW w:w="3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同上，症狀幾乎相同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基因特徵</w:t>
            </w:r>
          </w:p>
        </w:tc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類似其他鱗狀細胞癌（頭頸部）但無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HPV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關聯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類似胃腺癌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TP53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突變、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HER2/VEGFA/GATA4/6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分子標記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無明確靶點治療基因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擴增（約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表現微衛星不穩定（少數）</w:t>
            </w:r>
          </w:p>
        </w:tc>
      </w:tr>
      <w:tr w:rsidR="00000000">
        <w:trPr>
          <w:divId w:val="1020545774"/>
        </w:trPr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內視鏡＋切片、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CT/PET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、支氣管鏡（上段病灶）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ESCC</w:t>
            </w:r>
          </w:p>
        </w:tc>
      </w:tr>
      <w:tr w:rsidR="00000000">
        <w:trPr>
          <w:divId w:val="1020545774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治療（局限型）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化學放療為主，手術為輔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新輔助化療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輔助治療</w:t>
            </w:r>
          </w:p>
        </w:tc>
      </w:tr>
      <w:tr w:rsidR="00000000">
        <w:trPr>
          <w:divId w:val="1020545774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治療（轉移型）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免疫治療（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抑制劑）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TrastuzumabPD-L1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MSI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高者用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PD-1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抑制劑</w:t>
            </w:r>
          </w:p>
        </w:tc>
      </w:tr>
      <w:tr w:rsidR="00000000">
        <w:trPr>
          <w:divId w:val="1020545774"/>
        </w:trPr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五年存活率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預後較差（多診斷時為晚期）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85B6C" w:rsidRDefault="00F85B6C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預後略佳，但也偏低；視分期與治療而異</w:t>
            </w:r>
          </w:p>
        </w:tc>
      </w:tr>
    </w:tbl>
    <w:p w:rsidR="00F85B6C" w:rsidRDefault="00F85B6C">
      <w:pPr>
        <w:numPr>
          <w:ilvl w:val="2"/>
          <w:numId w:val="2"/>
        </w:numPr>
        <w:spacing w:line="3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補充</w:t>
      </w:r>
    </w:p>
    <w:p w:rsidR="00F85B6C" w:rsidRDefault="00F85B6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Plummer-Vinson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F85B6C" w:rsidRDefault="00F85B6C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Paterson-Kelly </w:t>
      </w:r>
      <w:r>
        <w:rPr>
          <w:rFonts w:ascii="微軟正黑體" w:eastAsia="微軟正黑體" w:hAnsi="微軟正黑體" w:cs="Calibri" w:hint="eastAsia"/>
          <w:sz w:val="22"/>
          <w:szCs w:val="22"/>
        </w:rPr>
        <w:t>症候群</w:t>
      </w:r>
    </w:p>
    <w:p w:rsidR="00F85B6C" w:rsidRDefault="00F85B6C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慢性缺鐵性貧血的中年婦女</w:t>
      </w:r>
    </w:p>
    <w:p w:rsidR="00F85B6C" w:rsidRDefault="00F85B6C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屬於</w:t>
      </w:r>
      <w:r>
        <w:rPr>
          <w:rFonts w:ascii="微軟正黑體" w:eastAsia="微軟正黑體" w:hAnsi="微軟正黑體" w:cs="Calibri" w:hint="eastAsia"/>
          <w:sz w:val="22"/>
          <w:szCs w:val="22"/>
        </w:rPr>
        <w:t>ESSC</w:t>
      </w:r>
      <w:r>
        <w:rPr>
          <w:rFonts w:ascii="微軟正黑體" w:eastAsia="微軟正黑體" w:hAnsi="微軟正黑體" w:cs="Calibri" w:hint="eastAsia"/>
          <w:sz w:val="22"/>
          <w:szCs w:val="22"/>
        </w:rPr>
        <w:t>癌前病變</w:t>
      </w:r>
    </w:p>
    <w:p w:rsidR="00F85B6C" w:rsidRDefault="00F85B6C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缺鐵影響黏膜細胞代謝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上食道黏膜變薄、發炎、角化不全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形成食道蹼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(esophageal web)</w:t>
      </w:r>
    </w:p>
    <w:p w:rsidR="00F85B6C" w:rsidRDefault="00F85B6C">
      <w:pPr>
        <w:numPr>
          <w:ilvl w:val="4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Clinical triad</w:t>
      </w:r>
    </w:p>
    <w:p w:rsidR="00F85B6C" w:rsidRDefault="00F85B6C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缺鐵性貧血</w:t>
      </w:r>
    </w:p>
    <w:p w:rsidR="00F85B6C" w:rsidRDefault="00F85B6C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吞嚥困難</w:t>
      </w:r>
    </w:p>
    <w:p w:rsidR="00F85B6C" w:rsidRDefault="00F85B6C">
      <w:pPr>
        <w:numPr>
          <w:ilvl w:val="5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舌炎、口角炎</w:t>
      </w:r>
    </w:p>
    <w:p w:rsidR="00F85B6C" w:rsidRDefault="00F85B6C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參考資料</w:t>
      </w:r>
    </w:p>
    <w:p w:rsidR="00F85B6C" w:rsidRDefault="00F85B6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F85B6C" w:rsidRDefault="00F85B6C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 xml:space="preserve">Jiang </w:t>
      </w: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W, Zhang B, Xu J, Xue L, Wang L. Current status and perspectives of esophageal cancer: a comprehensive review. Cancer Commun (Lond). 2025 Mar;45(3):281-331. doi: 10.1002/cac2.12645</w:t>
      </w:r>
    </w:p>
    <w:p w:rsidR="00F85B6C" w:rsidRDefault="00F85B6C">
      <w:pPr>
        <w:pStyle w:val="Web"/>
        <w:spacing w:before="120" w:beforeAutospacing="0" w:after="120" w:afterAutospacing="0" w:line="3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5B6C" w:rsidRDefault="00F85B6C">
      <w:pPr>
        <w:pStyle w:val="Web"/>
        <w:spacing w:before="120" w:beforeAutospacing="0" w:after="120" w:afterAutospacing="0" w:line="300" w:lineRule="atLeast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F85B6C" w:rsidRDefault="00F85B6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F85B6C" w:rsidRDefault="00F85B6C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5B6C" w:rsidRDefault="00F85B6C" w:rsidP="00F85B6C">
      <w:r>
        <w:separator/>
      </w:r>
    </w:p>
  </w:endnote>
  <w:endnote w:type="continuationSeparator" w:id="0">
    <w:p w:rsidR="00F85B6C" w:rsidRDefault="00F85B6C" w:rsidP="00F8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5B6C" w:rsidRDefault="00F85B6C" w:rsidP="00F85B6C">
      <w:r>
        <w:separator/>
      </w:r>
    </w:p>
  </w:footnote>
  <w:footnote w:type="continuationSeparator" w:id="0">
    <w:p w:rsidR="00F85B6C" w:rsidRDefault="00F85B6C" w:rsidP="00F8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0413F"/>
    <w:multiLevelType w:val="multilevel"/>
    <w:tmpl w:val="B17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84B23"/>
    <w:multiLevelType w:val="multilevel"/>
    <w:tmpl w:val="DCB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881668">
    <w:abstractNumId w:val="1"/>
  </w:num>
  <w:num w:numId="2" w16cid:durableId="100709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6C"/>
    <w:rsid w:val="00344A7D"/>
    <w:rsid w:val="00F8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4DBB16-B0C0-434C-A095-1B821D1C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85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5B6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85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5B6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54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