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59D1" w:rsidRDefault="00F459D1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eastAsia="zh-CN"/>
        </w:rPr>
        <w:t>急性腹膜炎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t>Peritonitis</w:t>
      </w:r>
    </w:p>
    <w:p w:rsidR="00F459D1" w:rsidRDefault="00F459D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F459D1" w:rsidRDefault="00F459D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11:38 PM</w:t>
      </w:r>
    </w:p>
    <w:p w:rsidR="00F459D1" w:rsidRDefault="00F459D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459D1" w:rsidRDefault="00F459D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459D1" w:rsidRDefault="00F459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459D1" w:rsidRDefault="00F459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459D1" w:rsidRDefault="00F459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459D1" w:rsidRDefault="00F459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459D1" w:rsidRDefault="00F459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59D1" w:rsidRDefault="00F459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定義與分類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6"/>
        <w:gridCol w:w="4780"/>
      </w:tblGrid>
      <w:tr w:rsidR="00000000">
        <w:trPr>
          <w:divId w:val="727067668"/>
        </w:trPr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6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727067668"/>
        </w:trPr>
        <w:tc>
          <w:tcPr>
            <w:tcW w:w="2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  <w:t>Primary (Spontaneous)</w:t>
            </w:r>
          </w:p>
        </w:tc>
        <w:tc>
          <w:tcPr>
            <w:tcW w:w="6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無明確腹內感染源，常見於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肝硬化合併腹水、低蛋白血症（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&lt;1 g/dL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）</w:t>
            </w:r>
          </w:p>
        </w:tc>
      </w:tr>
      <w:tr w:rsidR="00000000">
        <w:trPr>
          <w:divId w:val="727067668"/>
        </w:trPr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  <w:t>Secondary</w:t>
            </w:r>
          </w:p>
        </w:tc>
        <w:tc>
          <w:tcPr>
            <w:tcW w:w="6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有明確感染源，如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  <w:lang w:eastAsia="zh-CN"/>
              </w:rPr>
              <w:t>胃腸穿孔、術後感染、腹腔內器官發炎穿破</w:t>
            </w:r>
          </w:p>
        </w:tc>
      </w:tr>
      <w:tr w:rsidR="00000000">
        <w:trPr>
          <w:divId w:val="727067668"/>
        </w:trPr>
        <w:tc>
          <w:tcPr>
            <w:tcW w:w="2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84C22"/>
                <w:sz w:val="22"/>
                <w:szCs w:val="22"/>
              </w:rPr>
              <w:t>Tertiary</w:t>
            </w:r>
          </w:p>
        </w:tc>
        <w:tc>
          <w:tcPr>
            <w:tcW w:w="6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病人，治療後仍持續的腹膜炎，常見於免疫不全者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病因與機轉</w:t>
      </w:r>
    </w:p>
    <w:p w:rsidR="00F459D1" w:rsidRDefault="00F459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二次性腹膜炎（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5"/>
        <w:gridCol w:w="4941"/>
      </w:tblGrid>
      <w:tr w:rsidR="00000000">
        <w:trPr>
          <w:divId w:val="64454721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</w:tr>
      <w:tr w:rsidR="00000000">
        <w:trPr>
          <w:divId w:val="64454721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消化道穿孔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Appendicitis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Peptic ulcer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Diverticulitis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Cancer</w:t>
            </w:r>
          </w:p>
        </w:tc>
      </w:tr>
      <w:tr w:rsidR="00000000">
        <w:trPr>
          <w:divId w:val="64454721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腸道梗阻壞死</w:t>
            </w:r>
          </w:p>
        </w:tc>
        <w:tc>
          <w:tcPr>
            <w:tcW w:w="5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Strangulated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Volvulus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Intestinal infarction</w:t>
            </w:r>
          </w:p>
        </w:tc>
      </w:tr>
      <w:tr w:rsidR="00000000">
        <w:trPr>
          <w:divId w:val="644547210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泌尿或膽道穿破</w:t>
            </w:r>
          </w:p>
        </w:tc>
        <w:tc>
          <w:tcPr>
            <w:tcW w:w="5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Cholecystitis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Salpingitis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Bladder rupture</w:t>
            </w:r>
          </w:p>
        </w:tc>
      </w:tr>
      <w:tr w:rsidR="00000000">
        <w:trPr>
          <w:divId w:val="64454721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手術或醫源性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Anastomotic leakage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、內視鏡穿孔、異物遺留</w:t>
            </w:r>
          </w:p>
        </w:tc>
      </w:tr>
      <w:tr w:rsidR="00000000">
        <w:trPr>
          <w:divId w:val="64454721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外傷性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腹部鈍傷、穿刺、異物刺穿</w:t>
            </w:r>
          </w:p>
        </w:tc>
      </w:tr>
      <w:tr w:rsidR="00000000">
        <w:trPr>
          <w:divId w:val="644547210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、腸套疊、放射線、腫瘤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無菌性腹膜炎（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Aseptic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6"/>
        <w:gridCol w:w="4836"/>
      </w:tblGrid>
      <w:tr w:rsidR="00000000">
        <w:trPr>
          <w:divId w:val="537663822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537663822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化學性刺激</w:t>
            </w:r>
          </w:p>
        </w:tc>
        <w:tc>
          <w:tcPr>
            <w:tcW w:w="4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胃酸、膽汁、胰液、尿液、血液等生理液體外漏</w:t>
            </w:r>
          </w:p>
        </w:tc>
      </w:tr>
      <w:tr w:rsidR="00000000">
        <w:trPr>
          <w:divId w:val="537663822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體液異常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腹膜透析、內視鏡異物</w:t>
            </w:r>
          </w:p>
        </w:tc>
      </w:tr>
      <w:tr w:rsidR="00000000">
        <w:trPr>
          <w:divId w:val="537663822"/>
        </w:trPr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自體免疫疾病</w:t>
            </w:r>
          </w:p>
        </w:tc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Porphyria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臨床表現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11"/>
        <w:gridCol w:w="5275"/>
      </w:tblGrid>
      <w:tr w:rsidR="00000000">
        <w:trPr>
          <w:divId w:val="1330602282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表現</w:t>
            </w:r>
          </w:p>
        </w:tc>
        <w:tc>
          <w:tcPr>
            <w:tcW w:w="5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</w:t>
            </w:r>
          </w:p>
        </w:tc>
      </w:tr>
      <w:tr w:rsidR="00000000">
        <w:trPr>
          <w:divId w:val="1330602282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典型症狀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急性劇烈腹痛、發燒、肌肉僵硬（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rigidity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）、反彈痛</w:t>
            </w:r>
          </w:p>
        </w:tc>
      </w:tr>
      <w:tr w:rsidR="00000000">
        <w:trPr>
          <w:divId w:val="1330602282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</w:t>
            </w:r>
          </w:p>
        </w:tc>
        <w:tc>
          <w:tcPr>
            <w:tcW w:w="5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腸蠕動聲減弱或消失（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hypoactive/absent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30602282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全身反應</w:t>
            </w:r>
          </w:p>
        </w:tc>
        <w:tc>
          <w:tcPr>
            <w:tcW w:w="5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Tachycardia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、低血壓、呼吸淺快、酸中毒（晚期）</w:t>
            </w:r>
          </w:p>
        </w:tc>
      </w:tr>
      <w:tr w:rsidR="00000000">
        <w:trPr>
          <w:divId w:val="1330602282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老年或免疫抑制</w:t>
            </w:r>
          </w:p>
        </w:tc>
        <w:tc>
          <w:tcPr>
            <w:tcW w:w="5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症狀不典型，易延遲診斷與治療，死亡率↑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3"/>
        <w:gridCol w:w="5193"/>
      </w:tblGrid>
      <w:tr w:rsidR="00000000">
        <w:trPr>
          <w:divId w:val="1537619162"/>
        </w:trPr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6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</w:t>
            </w:r>
          </w:p>
        </w:tc>
      </w:tr>
      <w:tr w:rsidR="00000000">
        <w:trPr>
          <w:divId w:val="1537619162"/>
        </w:trPr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血液檢查</w:t>
            </w:r>
          </w:p>
        </w:tc>
        <w:tc>
          <w:tcPr>
            <w:tcW w:w="6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Metabolic acidosis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↑（腸缺血指標）</w:t>
            </w:r>
          </w:p>
        </w:tc>
      </w:tr>
      <w:tr w:rsidR="00000000">
        <w:trPr>
          <w:divId w:val="1537619162"/>
        </w:trPr>
        <w:tc>
          <w:tcPr>
            <w:tcW w:w="2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影像學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Upright abdominal X-ray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（自由氣體）</w:t>
            </w:r>
          </w:p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：穿孔、腹腔積液、發炎指標（氣體、增厚、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Stranding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37619162"/>
        </w:trPr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腹水分析（穩定者）</w:t>
            </w:r>
          </w:p>
        </w:tc>
        <w:tc>
          <w:tcPr>
            <w:tcW w:w="6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ascites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，應作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diagnostic paracentesis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</w:p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 &gt;250/mm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³、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高、蛋白分析（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SAAG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判別原發性）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治療原則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0"/>
        <w:gridCol w:w="5986"/>
      </w:tblGrid>
      <w:tr w:rsidR="00000000">
        <w:trPr>
          <w:divId w:val="67333619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原則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重點處理項目</w:t>
            </w:r>
          </w:p>
        </w:tc>
      </w:tr>
      <w:tr w:rsidR="00000000">
        <w:trPr>
          <w:divId w:val="67333619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穩定生命徵象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IV fluid resuscitation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、矯正電解質與酸鹼失衡</w:t>
            </w:r>
          </w:p>
        </w:tc>
      </w:tr>
      <w:tr w:rsidR="00000000">
        <w:trPr>
          <w:divId w:val="67333619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抗生素治療</w:t>
            </w:r>
          </w:p>
        </w:tc>
        <w:tc>
          <w:tcPr>
            <w:tcW w:w="8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Broad-spectrum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：覆蓋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G(+)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anaerobes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third-gen cephalosporin + metronidazole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67333619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手術介入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明確穿孔、膿瘍或腸道壞死時進行修補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切除</w:t>
            </w:r>
          </w:p>
        </w:tc>
      </w:tr>
      <w:tr w:rsidR="00000000">
        <w:trPr>
          <w:divId w:val="673336192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高風險病人</w:t>
            </w:r>
          </w:p>
        </w:tc>
        <w:tc>
          <w:tcPr>
            <w:tcW w:w="8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老年或免疫缺陷者，早期手術與加強抗生素療效追蹤尤重要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預後與死亡率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7"/>
        <w:gridCol w:w="899"/>
      </w:tblGrid>
      <w:tr w:rsidR="00000000">
        <w:trPr>
          <w:divId w:val="746537426"/>
        </w:trPr>
        <w:tc>
          <w:tcPr>
            <w:tcW w:w="3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死亡率</w:t>
            </w:r>
          </w:p>
        </w:tc>
      </w:tr>
      <w:tr w:rsidR="00000000">
        <w:trPr>
          <w:divId w:val="746537426"/>
        </w:trPr>
        <w:tc>
          <w:tcPr>
            <w:tcW w:w="3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健康、局限性腹膜炎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&lt;10%</w:t>
            </w:r>
          </w:p>
        </w:tc>
      </w:tr>
      <w:tr w:rsidR="00000000">
        <w:trPr>
          <w:divId w:val="746537426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老年、免疫抑制、擴散性腹膜炎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&gt;40%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F459D1" w:rsidRDefault="00F459D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國考與臨床補充重點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5"/>
        <w:gridCol w:w="5101"/>
      </w:tblGrid>
      <w:tr w:rsidR="00000000">
        <w:trPr>
          <w:divId w:val="1873878792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考點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補充說明</w:t>
            </w:r>
          </w:p>
        </w:tc>
      </w:tr>
      <w:tr w:rsidR="00000000">
        <w:trPr>
          <w:divId w:val="1873878792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Primary vs Secondary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Primary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多見於肝硬化腹水病人，常為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Gram-negative infection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  <w:lang w:eastAsia="zh-CN"/>
              </w:rPr>
              <w:t>E. coli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73878792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關鍵手術時機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Secondary peritonitis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多需手術（穿孔）、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primary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則可保守抗生素</w:t>
            </w:r>
          </w:p>
        </w:tc>
      </w:tr>
      <w:tr w:rsidR="00000000">
        <w:trPr>
          <w:divId w:val="1873878792"/>
        </w:trPr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Aseptic irritant</w:t>
            </w:r>
          </w:p>
        </w:tc>
        <w:tc>
          <w:tcPr>
            <w:tcW w:w="7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59D1" w:rsidRDefault="00F459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化學性腹膜炎可因胃酸、膽汁外漏所致，需早期清創與處理原發問題</w:t>
            </w:r>
          </w:p>
        </w:tc>
      </w:tr>
    </w:tbl>
    <w:p w:rsidR="00F459D1" w:rsidRDefault="00F459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F459D1" w:rsidRDefault="00F459D1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Reference:</w:t>
      </w:r>
    </w:p>
    <w:p w:rsidR="00F459D1" w:rsidRDefault="00F459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Harrisons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59D1" w:rsidRDefault="00F459D1" w:rsidP="00F459D1">
      <w:r>
        <w:separator/>
      </w:r>
    </w:p>
  </w:endnote>
  <w:endnote w:type="continuationSeparator" w:id="0">
    <w:p w:rsidR="00F459D1" w:rsidRDefault="00F459D1" w:rsidP="00F4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59D1" w:rsidRDefault="00F459D1" w:rsidP="00F459D1">
      <w:r>
        <w:separator/>
      </w:r>
    </w:p>
  </w:footnote>
  <w:footnote w:type="continuationSeparator" w:id="0">
    <w:p w:rsidR="00F459D1" w:rsidRDefault="00F459D1" w:rsidP="00F4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D2303"/>
    <w:multiLevelType w:val="multilevel"/>
    <w:tmpl w:val="CF5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667577">
    <w:abstractNumId w:val="0"/>
  </w:num>
  <w:num w:numId="2" w16cid:durableId="3095551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D1"/>
    <w:rsid w:val="00622705"/>
    <w:rsid w:val="00F4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1F1D27-8CBF-4CFF-AF82-12AAEDD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45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59D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45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59D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6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