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2625" w:rsidRDefault="00A3262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感染性皮膚病</w:t>
      </w:r>
    </w:p>
    <w:p w:rsidR="00A32625" w:rsidRDefault="00A3262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32625" w:rsidRDefault="00A3262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03:23</w:t>
      </w:r>
    </w:p>
    <w:p w:rsidR="00A32625" w:rsidRDefault="00A32625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2625" w:rsidRDefault="00A3262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皮膚感染大宗</w:t>
      </w:r>
    </w:p>
    <w:p w:rsidR="00A32625" w:rsidRDefault="00A3262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黴菌</w:t>
      </w:r>
    </w:p>
    <w:p w:rsidR="00A32625" w:rsidRDefault="00A3262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Dermatophyte(Tinea</w:t>
      </w:r>
      <w:r>
        <w:rPr>
          <w:rFonts w:ascii="微軟正黑體" w:eastAsia="微軟正黑體" w:hAnsi="微軟正黑體" w:cs="Calibri" w:hint="eastAsia"/>
          <w:sz w:val="20"/>
          <w:szCs w:val="20"/>
        </w:rPr>
        <w:t>算在這一類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pedis(</w:t>
      </w:r>
      <w:r>
        <w:rPr>
          <w:rFonts w:ascii="微軟正黑體" w:eastAsia="微軟正黑體" w:hAnsi="微軟正黑體" w:cs="Calibri" w:hint="eastAsia"/>
          <w:sz w:val="20"/>
          <w:szCs w:val="20"/>
        </w:rPr>
        <w:t>足癬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cruris(</w:t>
      </w:r>
      <w:r>
        <w:rPr>
          <w:rFonts w:ascii="微軟正黑體" w:eastAsia="微軟正黑體" w:hAnsi="微軟正黑體" w:cs="Calibri" w:hint="eastAsia"/>
          <w:sz w:val="20"/>
          <w:szCs w:val="20"/>
        </w:rPr>
        <w:t>股癬</w:t>
      </w:r>
      <w:r>
        <w:rPr>
          <w:rFonts w:ascii="微軟正黑體" w:eastAsia="微軟正黑體" w:hAnsi="微軟正黑體" w:cs="Calibri" w:hint="eastAsia"/>
          <w:sz w:val="20"/>
          <w:szCs w:val="20"/>
        </w:rPr>
        <w:t>)(</w:t>
      </w:r>
      <w:r>
        <w:rPr>
          <w:rFonts w:ascii="微軟正黑體" w:eastAsia="微軟正黑體" w:hAnsi="微軟正黑體" w:cs="Calibri" w:hint="eastAsia"/>
          <w:sz w:val="20"/>
          <w:szCs w:val="20"/>
        </w:rPr>
        <w:t>內褲會包到的部位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capitis(</w:t>
      </w:r>
      <w:r>
        <w:rPr>
          <w:rFonts w:ascii="微軟正黑體" w:eastAsia="微軟正黑體" w:hAnsi="微軟正黑體" w:cs="Calibri" w:hint="eastAsia"/>
          <w:sz w:val="20"/>
          <w:szCs w:val="20"/>
        </w:rPr>
        <w:t>頭皮癬</w:t>
      </w:r>
      <w:r>
        <w:rPr>
          <w:rFonts w:ascii="微軟正黑體" w:eastAsia="微軟正黑體" w:hAnsi="微軟正黑體" w:cs="Calibri" w:hint="eastAsia"/>
          <w:sz w:val="20"/>
          <w:szCs w:val="20"/>
        </w:rPr>
        <w:t>)(</w:t>
      </w:r>
      <w:r>
        <w:rPr>
          <w:rFonts w:ascii="微軟正黑體" w:eastAsia="微軟正黑體" w:hAnsi="微軟正黑體" w:cs="Calibri" w:hint="eastAsia"/>
          <w:sz w:val="20"/>
          <w:szCs w:val="20"/>
        </w:rPr>
        <w:t>需頭皮</w:t>
      </w:r>
      <w:r>
        <w:rPr>
          <w:rFonts w:ascii="微軟正黑體" w:eastAsia="微軟正黑體" w:hAnsi="微軟正黑體" w:cs="Calibri" w:hint="eastAsia"/>
          <w:sz w:val="20"/>
          <w:szCs w:val="20"/>
        </w:rPr>
        <w:t>+</w:t>
      </w:r>
      <w:r>
        <w:rPr>
          <w:rFonts w:ascii="微軟正黑體" w:eastAsia="微軟正黑體" w:hAnsi="微軟正黑體" w:cs="Calibri" w:hint="eastAsia"/>
          <w:sz w:val="20"/>
          <w:szCs w:val="20"/>
        </w:rPr>
        <w:t>頭髮在</w:t>
      </w:r>
      <w:r>
        <w:rPr>
          <w:rFonts w:ascii="微軟正黑體" w:eastAsia="微軟正黑體" w:hAnsi="微軟正黑體" w:cs="Calibri" w:hint="eastAsia"/>
          <w:sz w:val="20"/>
          <w:szCs w:val="20"/>
        </w:rPr>
        <w:t>KOH</w:t>
      </w:r>
      <w:r>
        <w:rPr>
          <w:rFonts w:ascii="微軟正黑體" w:eastAsia="微軟正黑體" w:hAnsi="微軟正黑體" w:cs="Calibri" w:hint="eastAsia"/>
          <w:sz w:val="20"/>
          <w:szCs w:val="20"/>
        </w:rPr>
        <w:t>下都有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faciei(</w:t>
      </w:r>
      <w:r>
        <w:rPr>
          <w:rFonts w:ascii="微軟正黑體" w:eastAsia="微軟正黑體" w:hAnsi="微軟正黑體" w:cs="Calibri" w:hint="eastAsia"/>
          <w:sz w:val="20"/>
          <w:szCs w:val="20"/>
        </w:rPr>
        <w:t>臉癬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manus(</w:t>
      </w:r>
      <w:r>
        <w:rPr>
          <w:rFonts w:ascii="微軟正黑體" w:eastAsia="微軟正黑體" w:hAnsi="微軟正黑體" w:cs="Calibri" w:hint="eastAsia"/>
          <w:sz w:val="20"/>
          <w:szCs w:val="20"/>
        </w:rPr>
        <w:t>手癬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barbae(</w:t>
      </w:r>
      <w:r>
        <w:rPr>
          <w:rFonts w:ascii="微軟正黑體" w:eastAsia="微軟正黑體" w:hAnsi="微軟正黑體" w:cs="Calibri" w:hint="eastAsia"/>
          <w:sz w:val="20"/>
          <w:szCs w:val="20"/>
        </w:rPr>
        <w:t>特指臉上鬍子癬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corporis(</w:t>
      </w:r>
      <w:r>
        <w:rPr>
          <w:rFonts w:ascii="微軟正黑體" w:eastAsia="微軟正黑體" w:hAnsi="微軟正黑體" w:cs="Calibri" w:hint="eastAsia"/>
          <w:sz w:val="20"/>
          <w:szCs w:val="20"/>
        </w:rPr>
        <w:t>四肢、軀幹癬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unguium(</w:t>
      </w:r>
      <w:r>
        <w:rPr>
          <w:rFonts w:ascii="微軟正黑體" w:eastAsia="微軟正黑體" w:hAnsi="微軟正黑體" w:cs="Calibri" w:hint="eastAsia"/>
          <w:sz w:val="20"/>
          <w:szCs w:val="20"/>
        </w:rPr>
        <w:t>甲癬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(Lesion  </w:t>
      </w:r>
      <w:r>
        <w:rPr>
          <w:rFonts w:ascii="微軟正黑體" w:eastAsia="微軟正黑體" w:hAnsi="微軟正黑體" w:cs="Calibri" w:hint="eastAsia"/>
          <w:sz w:val="20"/>
          <w:szCs w:val="20"/>
        </w:rPr>
        <w:t>border</w:t>
      </w:r>
      <w:r>
        <w:rPr>
          <w:rFonts w:ascii="微軟正黑體" w:eastAsia="微軟正黑體" w:hAnsi="微軟正黑體" w:cs="Calibri" w:hint="eastAsia"/>
          <w:sz w:val="20"/>
          <w:szCs w:val="20"/>
        </w:rPr>
        <w:t>活性最大、</w:t>
      </w:r>
      <w:r>
        <w:rPr>
          <w:rFonts w:ascii="微軟正黑體" w:eastAsia="微軟正黑體" w:hAnsi="微軟正黑體" w:cs="Calibri" w:hint="eastAsia"/>
          <w:sz w:val="20"/>
          <w:szCs w:val="20"/>
        </w:rPr>
        <w:t>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中間可能已經死掉或沒活性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Yeast</w:t>
      </w:r>
    </w:p>
    <w:p w:rsidR="00A32625" w:rsidRDefault="00A32625">
      <w:pPr>
        <w:pStyle w:val="Web"/>
        <w:spacing w:before="0" w:beforeAutospacing="0" w:after="0" w:afterAutospacing="0" w:line="680" w:lineRule="atLeast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Pityriasis versicolor(</w:t>
      </w:r>
      <w:r>
        <w:rPr>
          <w:rFonts w:ascii="微軟正黑體" w:eastAsia="微軟正黑體" w:hAnsi="微軟正黑體" w:cs="Calibri" w:hint="eastAsia"/>
          <w:sz w:val="20"/>
          <w:szCs w:val="20"/>
        </w:rPr>
        <w:t>汗斑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→</w:t>
      </w:r>
      <w:r>
        <w:rPr>
          <w:rFonts w:ascii="微軟正黑體" w:eastAsia="微軟正黑體" w:hAnsi="微軟正黑體" w:cs="Calibri" w:hint="eastAsia"/>
          <w:sz w:val="20"/>
          <w:szCs w:val="20"/>
        </w:rPr>
        <w:t>malassezia yeast metabolite</w:t>
      </w:r>
      <w:r>
        <w:rPr>
          <w:rFonts w:ascii="微軟正黑體" w:eastAsia="微軟正黑體" w:hAnsi="微軟正黑體" w:cs="Calibri" w:hint="eastAsia"/>
          <w:sz w:val="20"/>
          <w:szCs w:val="20"/>
        </w:rPr>
        <w:t>產物，好發容易流汗、肥胖、青春期男性</w:t>
      </w:r>
    </w:p>
    <w:p w:rsidR="00A32625" w:rsidRDefault="00A3262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治療</w:t>
      </w:r>
    </w:p>
    <w:p w:rsidR="00A32625" w:rsidRDefault="00A3262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Topical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For</w:t>
      </w:r>
      <w:r>
        <w:rPr>
          <w:rFonts w:ascii="微軟正黑體" w:eastAsia="微軟正黑體" w:hAnsi="微軟正黑體" w:cs="Calibri" w:hint="eastAsia"/>
          <w:sz w:val="20"/>
          <w:szCs w:val="20"/>
        </w:rPr>
        <w:t>體癬、股癬、香港手、香港腳、汗斑…</w:t>
      </w:r>
    </w:p>
    <w:p w:rsidR="00A32625" w:rsidRDefault="00A32625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-azole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yeast </w:t>
      </w:r>
      <w:r>
        <w:rPr>
          <w:rFonts w:ascii="微軟正黑體" w:eastAsia="微軟正黑體" w:hAnsi="微軟正黑體" w:cs="Calibri" w:hint="eastAsia"/>
          <w:sz w:val="22"/>
          <w:szCs w:val="22"/>
        </w:rPr>
        <w:t>較有效</w:t>
      </w:r>
    </w:p>
    <w:p w:rsidR="00A32625" w:rsidRDefault="00A32625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Ketoconazole(Nizoral)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CP</w:t>
      </w:r>
      <w:r>
        <w:rPr>
          <w:rFonts w:ascii="微軟正黑體" w:eastAsia="微軟正黑體" w:hAnsi="微軟正黑體" w:cs="Calibri" w:hint="eastAsia"/>
          <w:sz w:val="20"/>
          <w:szCs w:val="20"/>
        </w:rPr>
        <w:t>值最高，無論哪種黴菌的起手式</w:t>
      </w:r>
    </w:p>
    <w:p w:rsidR="00A32625" w:rsidRDefault="00A32625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Clotrimazole(Canesten)</w:t>
      </w:r>
    </w:p>
    <w:p w:rsidR="00A32625" w:rsidRDefault="00A32625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Sulconazole(Exelderm)</w:t>
      </w:r>
    </w:p>
    <w:p w:rsidR="00A32625" w:rsidRDefault="00A32625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-fine</w:t>
      </w:r>
      <w:r>
        <w:rPr>
          <w:rFonts w:ascii="微軟正黑體" w:eastAsia="微軟正黑體" w:hAnsi="微軟正黑體" w:cs="Calibri" w:hint="eastAsia"/>
          <w:sz w:val="20"/>
          <w:szCs w:val="20"/>
        </w:rPr>
        <w:t>：對</w:t>
      </w:r>
      <w:r>
        <w:rPr>
          <w:rFonts w:ascii="微軟正黑體" w:eastAsia="微軟正黑體" w:hAnsi="微軟正黑體" w:cs="Calibri" w:hint="eastAsia"/>
          <w:sz w:val="20"/>
          <w:szCs w:val="20"/>
        </w:rPr>
        <w:t>dermatophyte</w:t>
      </w:r>
      <w:r>
        <w:rPr>
          <w:rFonts w:ascii="微軟正黑體" w:eastAsia="微軟正黑體" w:hAnsi="微軟正黑體" w:cs="Calibri" w:hint="eastAsia"/>
          <w:sz w:val="20"/>
          <w:szCs w:val="20"/>
        </w:rPr>
        <w:t>較有效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Butenafine(Mentax)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Tonaftate(Pasca  gel)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sz w:val="20"/>
          <w:szCs w:val="20"/>
        </w:rPr>
        <w:t>2%</w:t>
      </w:r>
      <w:r>
        <w:rPr>
          <w:rFonts w:ascii="微軟正黑體" w:eastAsia="微軟正黑體" w:hAnsi="微軟正黑體" w:cs="Calibri" w:hint="eastAsia"/>
          <w:sz w:val="20"/>
          <w:szCs w:val="20"/>
        </w:rPr>
        <w:t>水楊酸，適合表皮較厚的地方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Naftifine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Ciclopirax olamine(Batrafen)</w:t>
      </w:r>
    </w:p>
    <w:p w:rsidR="00A32625" w:rsidRDefault="00A32625">
      <w:pPr>
        <w:numPr>
          <w:ilvl w:val="0"/>
          <w:numId w:val="4"/>
        </w:numPr>
        <w:spacing w:before="120" w:after="1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Onychomycosis(</w:t>
      </w:r>
      <w:r>
        <w:rPr>
          <w:rFonts w:ascii="微軟正黑體" w:eastAsia="微軟正黑體" w:hAnsi="微軟正黑體" w:cs="Calibri" w:hint="eastAsia"/>
          <w:sz w:val="20"/>
          <w:szCs w:val="20"/>
        </w:rPr>
        <w:t>指甲黴菌感染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：油膏難擦，故考量</w:t>
      </w:r>
      <w:r>
        <w:rPr>
          <w:rFonts w:ascii="微軟正黑體" w:eastAsia="微軟正黑體" w:hAnsi="微軟正黑體" w:cs="Calibri" w:hint="eastAsia"/>
          <w:sz w:val="20"/>
          <w:szCs w:val="20"/>
        </w:rPr>
        <w:t>solution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Sulconazole solution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Ciclopiraxalamine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Naftifine</w:t>
      </w:r>
    </w:p>
    <w:p w:rsidR="00A32625" w:rsidRDefault="00A32625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lastRenderedPageBreak/>
        <w:t>Loceryl</w:t>
      </w:r>
    </w:p>
    <w:p w:rsidR="00A32625" w:rsidRDefault="00A32625">
      <w:pPr>
        <w:numPr>
          <w:ilvl w:val="0"/>
          <w:numId w:val="5"/>
        </w:numPr>
        <w:spacing w:line="6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Oral antifungal agnet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頭癬</w:t>
      </w:r>
      <w:r>
        <w:rPr>
          <w:rFonts w:ascii="微軟正黑體" w:eastAsia="微軟正黑體" w:hAnsi="微軟正黑體" w:cs="Calibri" w:hint="eastAsia"/>
          <w:sz w:val="20"/>
          <w:szCs w:val="20"/>
        </w:rPr>
        <w:t>、體癬、股癬、香港手、香港腳、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灰指甲</w:t>
      </w:r>
      <w:r>
        <w:rPr>
          <w:rFonts w:ascii="微軟正黑體" w:eastAsia="微軟正黑體" w:hAnsi="微軟正黑體" w:cs="Calibri" w:hint="eastAsia"/>
          <w:sz w:val="20"/>
          <w:szCs w:val="20"/>
        </w:rPr>
        <w:t>、汗斑、</w:t>
      </w:r>
      <w:r>
        <w:rPr>
          <w:rFonts w:ascii="微軟正黑體" w:eastAsia="微軟正黑體" w:hAnsi="微軟正黑體" w:cs="Calibri" w:hint="eastAsia"/>
          <w:sz w:val="20"/>
          <w:szCs w:val="20"/>
        </w:rPr>
        <w:t>deep fungal infection(</w:t>
      </w:r>
      <w:r>
        <w:rPr>
          <w:rFonts w:ascii="微軟正黑體" w:eastAsia="微軟正黑體" w:hAnsi="微軟正黑體" w:cs="Calibri" w:hint="eastAsia"/>
          <w:sz w:val="20"/>
          <w:szCs w:val="20"/>
        </w:rPr>
        <w:t>吃到毛髮、指甲一定要口服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A32625" w:rsidRDefault="00A32625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Griseofulvin(GF)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Dermatophyte </w:t>
      </w:r>
    </w:p>
    <w:p w:rsidR="00A32625" w:rsidRDefault="00A32625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Terbinafine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Dermatophyte </w:t>
      </w:r>
    </w:p>
    <w:p w:rsidR="00A32625" w:rsidRDefault="00A32625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Itraconazole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Yeast</w:t>
      </w:r>
    </w:p>
    <w:p w:rsidR="00A32625" w:rsidRDefault="00A32625">
      <w:pPr>
        <w:pStyle w:val="Web"/>
        <w:spacing w:before="0" w:beforeAutospacing="0" w:after="0" w:afterAutospacing="0" w:line="680" w:lineRule="atLeast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病毒</w:t>
      </w:r>
      <w:r>
        <w:rPr>
          <w:rFonts w:ascii="微軟正黑體" w:eastAsia="微軟正黑體" w:hAnsi="微軟正黑體" w:cs="Calibri" w:hint="eastAsia"/>
          <w:sz w:val="20"/>
          <w:szCs w:val="20"/>
        </w:rPr>
        <w:t>(16:53)</w:t>
      </w:r>
    </w:p>
    <w:p w:rsidR="00A32625" w:rsidRDefault="00A32625">
      <w:pPr>
        <w:pStyle w:val="Web"/>
        <w:spacing w:before="0" w:beforeAutospacing="0" w:after="0" w:afterAutospacing="0" w:line="680" w:lineRule="atLeast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HSV</w:t>
      </w:r>
    </w:p>
    <w:p w:rsidR="00A32625" w:rsidRDefault="00A3262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VZV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2625" w:rsidRDefault="00A32625" w:rsidP="00A32625">
      <w:r>
        <w:separator/>
      </w:r>
    </w:p>
  </w:endnote>
  <w:endnote w:type="continuationSeparator" w:id="0">
    <w:p w:rsidR="00A32625" w:rsidRDefault="00A32625" w:rsidP="00A3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2625" w:rsidRDefault="00A32625" w:rsidP="00A32625">
      <w:r>
        <w:separator/>
      </w:r>
    </w:p>
  </w:footnote>
  <w:footnote w:type="continuationSeparator" w:id="0">
    <w:p w:rsidR="00A32625" w:rsidRDefault="00A32625" w:rsidP="00A3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3BE"/>
    <w:multiLevelType w:val="multilevel"/>
    <w:tmpl w:val="4B02F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12D3"/>
    <w:multiLevelType w:val="multilevel"/>
    <w:tmpl w:val="C32AB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E18FA"/>
    <w:multiLevelType w:val="multilevel"/>
    <w:tmpl w:val="00703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3F30"/>
    <w:multiLevelType w:val="multilevel"/>
    <w:tmpl w:val="B5BEC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B0E5C"/>
    <w:multiLevelType w:val="multilevel"/>
    <w:tmpl w:val="2B281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09532">
    <w:abstractNumId w:val="2"/>
  </w:num>
  <w:num w:numId="2" w16cid:durableId="474953014">
    <w:abstractNumId w:val="4"/>
  </w:num>
  <w:num w:numId="3" w16cid:durableId="995769977">
    <w:abstractNumId w:val="1"/>
  </w:num>
  <w:num w:numId="4" w16cid:durableId="947852779">
    <w:abstractNumId w:val="3"/>
  </w:num>
  <w:num w:numId="5" w16cid:durableId="44973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25"/>
    <w:rsid w:val="006C3BA2"/>
    <w:rsid w:val="00A3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706876-45A0-4414-825C-FFE1A92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32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62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32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62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