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04241" w:rsidRDefault="00304241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 xml:space="preserve">(X) </w:t>
      </w:r>
      <w:r>
        <w:rPr>
          <w:rFonts w:ascii="微軟正黑體" w:eastAsia="微軟正黑體" w:hAnsi="微軟正黑體" w:cs="Calibri" w:hint="eastAsia"/>
          <w:sz w:val="40"/>
          <w:szCs w:val="40"/>
          <w:lang w:val="en-GB"/>
        </w:rPr>
        <w:t>肺栓塞（</w:t>
      </w:r>
      <w:r>
        <w:rPr>
          <w:rFonts w:ascii="Calibri Light" w:hAnsi="Calibri Light" w:cs="Calibri Light"/>
          <w:sz w:val="40"/>
          <w:szCs w:val="40"/>
          <w:lang w:val="en-GB"/>
        </w:rPr>
        <w:t>Pulmonary Embolism</w:t>
      </w:r>
      <w:r>
        <w:rPr>
          <w:rFonts w:ascii="微軟正黑體" w:eastAsia="微軟正黑體" w:hAnsi="微軟正黑體" w:cs="Calibri" w:hint="eastAsia"/>
          <w:sz w:val="40"/>
          <w:szCs w:val="40"/>
          <w:lang w:val="en-GB"/>
        </w:rPr>
        <w:t>）</w:t>
      </w:r>
    </w:p>
    <w:p w:rsidR="00304241" w:rsidRDefault="00304241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304241" w:rsidRDefault="00304241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12:00</w:t>
      </w:r>
    </w:p>
    <w:p w:rsidR="00304241" w:rsidRDefault="0030424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04241" w:rsidRDefault="0030424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根據台灣健保資料庫，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PE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發生率由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1998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年的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每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10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萬人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3.3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例，逐年上升至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2008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年的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 xml:space="preserve"> 7.4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例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4241" w:rsidRDefault="00304241" w:rsidP="00304241">
      <w:r>
        <w:separator/>
      </w:r>
    </w:p>
  </w:endnote>
  <w:endnote w:type="continuationSeparator" w:id="0">
    <w:p w:rsidR="00304241" w:rsidRDefault="00304241" w:rsidP="0030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4241" w:rsidRDefault="00304241" w:rsidP="00304241">
      <w:r>
        <w:separator/>
      </w:r>
    </w:p>
  </w:footnote>
  <w:footnote w:type="continuationSeparator" w:id="0">
    <w:p w:rsidR="00304241" w:rsidRDefault="00304241" w:rsidP="00304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41"/>
    <w:rsid w:val="00304241"/>
    <w:rsid w:val="00B9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ADFCE67-FA69-49AE-96DC-E2B87AF8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04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0424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04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0424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