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11B4" w:rsidRDefault="005411B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兩側右心房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</w:t>
      </w:r>
    </w:p>
    <w:p w:rsidR="005411B4" w:rsidRDefault="005411B4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5411B4" w:rsidRDefault="005411B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16:33</w:t>
      </w:r>
    </w:p>
    <w:p w:rsidR="005411B4" w:rsidRDefault="005411B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411B4" w:rsidRDefault="005411B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5411B4" w:rsidRDefault="005411B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32"/>
          <w:szCs w:val="32"/>
          <w:lang w:val="en-GB"/>
        </w:rPr>
        <w:t>台灣發生率約萬分之一</w:t>
      </w:r>
    </w:p>
    <w:p w:rsidR="005411B4" w:rsidRDefault="005411B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32"/>
          <w:szCs w:val="32"/>
          <w:lang w:val="en-GB"/>
        </w:rPr>
        <w:t>兩側左心房症以歐美西方人出現率較高，台灣約在二十萬分之一的比率</w:t>
      </w:r>
    </w:p>
    <w:p w:rsidR="005411B4" w:rsidRDefault="005411B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雙左心房常合併多脾臟</w:t>
      </w:r>
    </w:p>
    <w:p w:rsidR="005411B4" w:rsidRDefault="005411B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5411B4" w:rsidRDefault="005411B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常合併多種先天異常</w:t>
      </w:r>
    </w:p>
    <w:p w:rsidR="005411B4" w:rsidRDefault="005411B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右位心（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Dextrocardia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5411B4" w:rsidRDefault="005411B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Accessory pathway</w:t>
      </w:r>
    </w:p>
    <w:p w:rsidR="005411B4" w:rsidRDefault="005411B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肺動脈阻塞：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導致肺血流減少</w:t>
      </w:r>
    </w:p>
    <w:p w:rsidR="005411B4" w:rsidRDefault="005411B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中線肝臟（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midline liver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5411B4" w:rsidRDefault="005411B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無脾症（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aplensim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 </w:t>
      </w:r>
    </w:p>
    <w:p w:rsidR="005411B4" w:rsidRDefault="005411B4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Howell-Jolly body</w:t>
      </w:r>
    </w:p>
    <w:p w:rsidR="005411B4" w:rsidRDefault="005411B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常見在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脾切除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或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先天無脾臟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（如雙右心房）</w:t>
      </w:r>
    </w:p>
    <w:p w:rsidR="005411B4" w:rsidRDefault="005411B4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雙左心房常合併多脾臟</w:t>
      </w:r>
    </w:p>
    <w:p w:rsidR="005411B4" w:rsidRDefault="005411B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5411B4" w:rsidRDefault="005411B4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5411B4" w:rsidRDefault="005411B4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5411B4" w:rsidRDefault="005411B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台灣罕見的兩側雙左心房症</w:t>
      </w:r>
      <w:r>
        <w:rPr>
          <w:rFonts w:ascii="Calibri" w:hAnsi="Calibri" w:cs="Calibri"/>
          <w:sz w:val="22"/>
          <w:szCs w:val="22"/>
          <w:lang w:val="en-GB"/>
        </w:rPr>
        <w:t xml:space="preserve"> | Uho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優活健康網</w:t>
      </w:r>
      <w:r>
        <w:rPr>
          <w:rFonts w:ascii="Calibri" w:hAnsi="Calibri" w:cs="Calibri"/>
          <w:sz w:val="22"/>
          <w:szCs w:val="22"/>
          <w:lang w:val="en-GB"/>
        </w:rPr>
        <w:t xml:space="preserve">  </w:t>
      </w:r>
      <w:hyperlink r:id="rId7" w:history="1">
        <w:r>
          <w:rPr>
            <w:rStyle w:val="a3"/>
            <w:rFonts w:ascii="Calibri" w:hAnsi="Calibri" w:cs="Calibri"/>
            <w:sz w:val="22"/>
            <w:szCs w:val="22"/>
            <w:lang w:val="en-GB"/>
          </w:rPr>
          <w:t>https://www.uho.com.tw/article-3966.html</w:t>
        </w:r>
      </w:hyperlink>
    </w:p>
    <w:p w:rsidR="005411B4" w:rsidRDefault="005411B4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11B4" w:rsidRDefault="005411B4" w:rsidP="005411B4">
      <w:r>
        <w:separator/>
      </w:r>
    </w:p>
  </w:endnote>
  <w:endnote w:type="continuationSeparator" w:id="0">
    <w:p w:rsidR="005411B4" w:rsidRDefault="005411B4" w:rsidP="0054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11B4" w:rsidRDefault="005411B4" w:rsidP="005411B4">
      <w:r>
        <w:separator/>
      </w:r>
    </w:p>
  </w:footnote>
  <w:footnote w:type="continuationSeparator" w:id="0">
    <w:p w:rsidR="005411B4" w:rsidRDefault="005411B4" w:rsidP="00541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549CD"/>
    <w:multiLevelType w:val="multilevel"/>
    <w:tmpl w:val="438E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5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B4"/>
    <w:rsid w:val="005411B4"/>
    <w:rsid w:val="00EA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AD986C8-FBCB-4D52-9A94-61FBB9B5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541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11B4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541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11B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ho.com.tw/article-396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