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98C" w:rsidRDefault="00ED298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左心發育不全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Hypoplastic Left Heart Syndrome </w:t>
      </w:r>
    </w:p>
    <w:p w:rsidR="00ED298C" w:rsidRDefault="00ED298C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ED298C" w:rsidRDefault="00ED298C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14:43</w:t>
      </w:r>
    </w:p>
    <w:p w:rsidR="00ED298C" w:rsidRDefault="00ED298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左心室嚴重發育不全，可能合併二尖瓣、主動脈瓣或主動脈弓的狹窄或閉鎖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流行病學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男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1.5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罕見，但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佔新生兒心臟死亡原因的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25–40%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244061"/>
          <w:sz w:val="32"/>
          <w:szCs w:val="32"/>
          <w:lang w:val="en-GB"/>
        </w:rPr>
        <w:t>病因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多因素</w:t>
      </w:r>
    </w:p>
    <w:p w:rsidR="00ED298C" w:rsidRDefault="00ED29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單基因多型性（</w:t>
      </w:r>
      <w:r>
        <w:rPr>
          <w:rFonts w:ascii="Calibri" w:hAnsi="Calibri" w:cs="Calibri"/>
          <w:sz w:val="22"/>
          <w:szCs w:val="22"/>
          <w:lang w:val="en-GB"/>
        </w:rPr>
        <w:t>single gene polymorphisms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ED298C" w:rsidRDefault="00ED29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胎內血流改變（</w:t>
      </w:r>
      <w:r>
        <w:rPr>
          <w:rFonts w:ascii="Calibri" w:hAnsi="Calibri" w:cs="Calibri"/>
          <w:sz w:val="22"/>
          <w:szCs w:val="22"/>
          <w:lang w:val="en-GB"/>
        </w:rPr>
        <w:t>altered blood flow patterns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ED298C" w:rsidRDefault="00ED298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胎內感染（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Intrauterine infection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常見合併染色體異常</w:t>
      </w:r>
    </w:p>
    <w:p w:rsidR="00ED298C" w:rsidRDefault="00ED298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trisomy 13</w:t>
      </w:r>
    </w:p>
    <w:p w:rsidR="00ED298C" w:rsidRDefault="00ED298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trisomy 18</w:t>
      </w:r>
    </w:p>
    <w:p w:rsidR="00ED298C" w:rsidRDefault="00ED298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Jacobsen syndrome</w:t>
      </w:r>
    </w:p>
    <w:p w:rsidR="00ED298C" w:rsidRDefault="00ED298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Turner syndrome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病生理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因左心房、左心室都發育不完全，無法負擔體循環需求，需靠右心室負責供應肺循環與體循環，並靠動脈導管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將血送到體循環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新生兒要存活需依靠動脈導管（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）與心房中膈缺損（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常合併二尖瓣狹窄（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）、主動脈瓣狹窄（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）或主動脈弓狹窄（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CoA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ED298C" w:rsidRDefault="00ED298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C" w:rsidRDefault="00ED298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（圖說：左心發育不全的解剖構造）</w:t>
      </w:r>
    </w:p>
    <w:p w:rsidR="00ED298C" w:rsidRDefault="00ED298C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Reference: Diagram showing a healthy heart and one suffering from hypoplastic left heart syndrome, Mariana Ruiz, 12 June 2006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症狀</w:t>
      </w:r>
      <w:r>
        <w:rPr>
          <w:rFonts w:ascii="Calibri" w:hAnsi="Calibri" w:cs="Calibri"/>
          <w:color w:val="244061"/>
          <w:sz w:val="28"/>
          <w:szCs w:val="28"/>
          <w:lang w:val="en-GB"/>
        </w:rPr>
        <w:t>/PE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出生時可能無症狀</w:t>
      </w:r>
    </w:p>
    <w:p w:rsidR="00ED298C" w:rsidRDefault="00ED298C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如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保持開啟，體循環能維持足夠血流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當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逐漸關閉，症狀會加劇</w:t>
      </w:r>
    </w:p>
    <w:p w:rsidR="00ED298C" w:rsidRDefault="00ED298C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（給氧後仍無法改善）</w:t>
      </w:r>
    </w:p>
    <w:p w:rsidR="00ED298C" w:rsidRDefault="00ED298C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呼吸喘、低血壓、末梢脈搏減弱、手足冰冷</w:t>
      </w:r>
    </w:p>
    <w:p w:rsidR="00ED298C" w:rsidRDefault="00ED298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嚴重時會演變成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心衰竭和心因性休克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ED298C" w:rsidRDefault="00ED298C">
      <w:pPr>
        <w:numPr>
          <w:ilvl w:val="3"/>
          <w:numId w:val="6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明顯、單一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S2</w:t>
      </w:r>
    </w:p>
    <w:p w:rsidR="00ED298C" w:rsidRDefault="00ED298C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通常沒有</w:t>
      </w:r>
      <w:r>
        <w:rPr>
          <w:rFonts w:ascii="Calibri" w:hAnsi="Calibri" w:cs="Calibri"/>
          <w:sz w:val="22"/>
          <w:szCs w:val="22"/>
          <w:lang w:val="en-GB"/>
        </w:rPr>
        <w:t>murmur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ED298C" w:rsidRDefault="00ED298C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可見左心發育不全或缺失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SpO₂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）降低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產前超音波、胸部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光、心電圖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：通常沒有特別的</w:t>
      </w:r>
      <w:r>
        <w:rPr>
          <w:rFonts w:ascii="Calibri" w:hAnsi="Calibri" w:cs="Calibri"/>
          <w:sz w:val="22"/>
          <w:szCs w:val="22"/>
          <w:lang w:val="en-GB"/>
        </w:rPr>
        <w:t>findings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藥物治療</w:t>
      </w:r>
    </w:p>
    <w:p w:rsidR="00ED298C" w:rsidRDefault="00ED298C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可用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維持動脈導管開放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唯一方法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ED298C" w:rsidRDefault="00ED298C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三階段手術</w:t>
      </w:r>
    </w:p>
    <w:p w:rsidR="00ED298C" w:rsidRDefault="00ED298C">
      <w:pPr>
        <w:numPr>
          <w:ilvl w:val="4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右心當左心用，肺動脈當右心用</w:t>
      </w:r>
    </w:p>
    <w:p w:rsidR="00ED298C" w:rsidRDefault="00ED298C">
      <w:pPr>
        <w:numPr>
          <w:ilvl w:val="4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利用右心室負責體循環，上下腔靜脈（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）回流後直接進入肺動脈供應肺循環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ED298C" w:rsidRDefault="00ED298C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Stage 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個月內）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Norwood procedure</w:t>
      </w:r>
    </w:p>
    <w:p w:rsidR="00ED298C" w:rsidRDefault="00ED298C">
      <w:pPr>
        <w:numPr>
          <w:ilvl w:val="5"/>
          <w:numId w:val="10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分離主動脈和肺動脈，並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將主動脈接到右心，用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B-T shunt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連接主動脈和肺動脈</w:t>
      </w:r>
    </w:p>
    <w:p w:rsidR="00ED298C" w:rsidRDefault="00ED298C">
      <w:pPr>
        <w:numPr>
          <w:ilvl w:val="5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心房中膈切除，促進靜脈血混合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，增加主動脈血流，確保體循環有足夠血液</w:t>
      </w:r>
    </w:p>
    <w:p w:rsidR="00ED298C" w:rsidRDefault="00ED298C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Stage 2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4-8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個月）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Glenn procedure</w:t>
      </w:r>
    </w:p>
    <w:p w:rsidR="00ED298C" w:rsidRDefault="00ED298C">
      <w:pPr>
        <w:numPr>
          <w:ilvl w:val="5"/>
          <w:numId w:val="10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</w:p>
    <w:p w:rsidR="00ED298C" w:rsidRDefault="00ED298C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Stage 3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2-3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歲）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Fonton procedure</w:t>
      </w:r>
    </w:p>
    <w:p w:rsidR="00ED298C" w:rsidRDefault="00ED298C">
      <w:pPr>
        <w:numPr>
          <w:ilvl w:val="5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將上、下腔靜脈（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ED298C" w:rsidRDefault="00ED298C">
      <w:pPr>
        <w:numPr>
          <w:ilvl w:val="3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心臟移植</w:t>
      </w:r>
    </w:p>
    <w:p w:rsidR="00ED298C" w:rsidRDefault="00ED298C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ED298C" w:rsidRDefault="00ED298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ED298C" w:rsidRDefault="00ED298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</w:t>
      </w:r>
    </w:p>
    <w:p w:rsidR="00ED298C" w:rsidRDefault="00ED298C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ED298C" w:rsidRDefault="00ED298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接受手術治療，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五年存活率約為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65%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若術後能存活至一歲，長期存活率（至</w:t>
      </w:r>
      <w:r>
        <w:rPr>
          <w:rFonts w:ascii="Calibri" w:hAnsi="Calibri" w:cs="Calibri"/>
          <w:sz w:val="22"/>
          <w:szCs w:val="22"/>
          <w:lang w:val="en-GB"/>
        </w:rPr>
        <w:t>18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歲）約為</w:t>
      </w:r>
      <w:r>
        <w:rPr>
          <w:rFonts w:ascii="Calibri" w:hAnsi="Calibri" w:cs="Calibri"/>
          <w:sz w:val="22"/>
          <w:szCs w:val="22"/>
          <w:lang w:val="en-GB"/>
        </w:rPr>
        <w:t>90%</w:t>
      </w:r>
    </w:p>
    <w:p w:rsidR="00ED298C" w:rsidRDefault="00ED298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ED298C" w:rsidRDefault="00ED298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</w:t>
      </w:r>
      <w:r>
        <w:rPr>
          <w:rFonts w:ascii="Calibri" w:hAnsi="Calibri" w:cs="Calibri"/>
          <w:sz w:val="22"/>
          <w:szCs w:val="22"/>
        </w:rPr>
        <w:t xml:space="preserve">Textbook of Surgery 21st Edition </w:t>
      </w:r>
    </w:p>
    <w:p w:rsidR="00ED298C" w:rsidRDefault="00ED298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ED298C" w:rsidRDefault="00ED29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Hypoplastic Left Heart Syndrome,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298C" w:rsidRDefault="00ED298C" w:rsidP="00ED298C">
      <w:r>
        <w:separator/>
      </w:r>
    </w:p>
  </w:endnote>
  <w:endnote w:type="continuationSeparator" w:id="0">
    <w:p w:rsidR="00ED298C" w:rsidRDefault="00ED298C" w:rsidP="00ED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298C" w:rsidRDefault="00ED298C" w:rsidP="00ED298C">
      <w:r>
        <w:separator/>
      </w:r>
    </w:p>
  </w:footnote>
  <w:footnote w:type="continuationSeparator" w:id="0">
    <w:p w:rsidR="00ED298C" w:rsidRDefault="00ED298C" w:rsidP="00ED2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04968"/>
    <w:multiLevelType w:val="multilevel"/>
    <w:tmpl w:val="FBFC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467596">
    <w:abstractNumId w:val="0"/>
  </w:num>
  <w:num w:numId="2" w16cid:durableId="37146160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58603412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0862285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211774573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51140576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65237143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39527734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80480985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61965309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204355007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8C"/>
    <w:rsid w:val="002A5725"/>
    <w:rsid w:val="00E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700829-E1D5-4D1D-8377-D716B6F6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D2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298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D2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298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